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1"/>
      </w:r>
      <w:r w:rsidR="000049D8" w:rsidRPr="007A395D">
        <w:rPr>
          <w:rFonts w:ascii="Calibri" w:hAnsi="Calibri"/>
        </w:rPr>
        <w:t xml:space="preserve">  </w:t>
      </w:r>
      <w:r w:rsidR="000B72AE">
        <w:rPr>
          <w:rFonts w:ascii="Calibri" w:hAnsi="Calibri"/>
        </w:rPr>
        <w:t>ENAV19</w:t>
      </w:r>
      <w:r w:rsidR="000B72AE" w:rsidRPr="007A395D">
        <w:rPr>
          <w:rFonts w:ascii="Calibri" w:hAnsi="Calibri"/>
        </w:rPr>
        <w:t>-</w:t>
      </w:r>
      <w:r w:rsidR="0003697F">
        <w:rPr>
          <w:rFonts w:ascii="Calibri" w:hAnsi="Calibri"/>
        </w:rPr>
        <w:t>13.13</w:t>
      </w:r>
    </w:p>
    <w:p w:rsidR="00BF32F0" w:rsidRPr="007A395D" w:rsidRDefault="00BF32F0" w:rsidP="006F2B88">
      <w:pPr>
        <w:pStyle w:val="BodyText"/>
      </w:pPr>
    </w:p>
    <w:p w:rsidR="00D019CE" w:rsidRPr="007A395D" w:rsidRDefault="00D019CE" w:rsidP="006F2B88">
      <w:pPr>
        <w:pStyle w:val="BodyText"/>
      </w:pPr>
    </w:p>
    <w:p w:rsidR="0080294B" w:rsidRPr="007A395D" w:rsidRDefault="00E558C3" w:rsidP="006F2B88">
      <w:pPr>
        <w:pStyle w:val="BodyText"/>
      </w:pPr>
      <w:r w:rsidRPr="007A395D">
        <w:t xml:space="preserve">Input paper for the following Committee(s): </w:t>
      </w:r>
      <w:r w:rsidRPr="007A395D">
        <w:tab/>
      </w:r>
      <w:r w:rsidRPr="007A395D">
        <w:rPr>
          <w:sz w:val="18"/>
          <w:szCs w:val="18"/>
        </w:rPr>
        <w:t>check as appropriate</w:t>
      </w:r>
      <w:r w:rsidRPr="007A395D">
        <w:rPr>
          <w:sz w:val="18"/>
          <w:szCs w:val="18"/>
        </w:rPr>
        <w:tab/>
      </w:r>
      <w:r w:rsidRPr="007A395D">
        <w:tab/>
        <w:t>Purpose of paper:</w:t>
      </w:r>
    </w:p>
    <w:p w:rsidR="0080294B" w:rsidRPr="007A395D" w:rsidRDefault="0080294B" w:rsidP="006F2B88">
      <w:pPr>
        <w:pStyle w:val="BodyText"/>
        <w:rPr>
          <w:b/>
        </w:rPr>
      </w:pPr>
      <w:proofErr w:type="gramStart"/>
      <w:r w:rsidRPr="007A395D">
        <w:rPr>
          <w:b/>
        </w:rPr>
        <w:t>□</w:t>
      </w:r>
      <w:r w:rsidRPr="007A395D">
        <w:t xml:space="preserve">  ARM</w:t>
      </w:r>
      <w:proofErr w:type="gramEnd"/>
      <w:r w:rsidR="00037DF4" w:rsidRPr="007A395D">
        <w:tab/>
      </w:r>
      <w:r w:rsidR="00342832">
        <w:tab/>
      </w:r>
      <w:r w:rsidRPr="007A395D">
        <w:rPr>
          <w:b/>
        </w:rPr>
        <w:t>□</w:t>
      </w:r>
      <w:r w:rsidRPr="007A395D">
        <w:t xml:space="preserve">  ENG</w:t>
      </w:r>
      <w:r w:rsidRPr="007A395D">
        <w:tab/>
      </w:r>
      <w:r w:rsidRPr="007A395D">
        <w:tab/>
      </w:r>
      <w:r w:rsidRPr="007A395D">
        <w:rPr>
          <w:b/>
        </w:rPr>
        <w:t>□</w:t>
      </w:r>
      <w:r w:rsidRPr="007A395D">
        <w:t xml:space="preserve">  PAP</w:t>
      </w:r>
      <w:r w:rsidRPr="007A395D">
        <w:tab/>
      </w:r>
      <w:r w:rsidRPr="007A395D">
        <w:tab/>
      </w:r>
      <w:r w:rsidR="00037DF4" w:rsidRPr="007A395D">
        <w:tab/>
      </w:r>
      <w:r w:rsidR="00037DF4" w:rsidRPr="007A395D">
        <w:tab/>
      </w:r>
      <w:r w:rsidR="00037DF4" w:rsidRPr="007A395D">
        <w:tab/>
      </w:r>
      <w:r w:rsidR="00A75F4F">
        <w:rPr>
          <w:b/>
        </w:rPr>
        <w:sym w:font="Wingdings" w:char="F078"/>
      </w:r>
      <w:r w:rsidRPr="007A395D">
        <w:t xml:space="preserve">  Input</w:t>
      </w:r>
    </w:p>
    <w:p w:rsidR="0080294B" w:rsidRPr="007A395D" w:rsidRDefault="00A75F4F" w:rsidP="006F2B88">
      <w:pPr>
        <w:pStyle w:val="BodyText"/>
      </w:pPr>
      <w:r>
        <w:rPr>
          <w:b/>
        </w:rPr>
        <w:sym w:font="Wingdings" w:char="F078"/>
      </w:r>
      <w:r w:rsidR="0080294B" w:rsidRPr="007A395D">
        <w:t xml:space="preserve">  ENAV</w:t>
      </w:r>
      <w:r w:rsidR="0080294B" w:rsidRPr="007A395D">
        <w:rPr>
          <w:b/>
        </w:rPr>
        <w:tab/>
      </w:r>
      <w:proofErr w:type="gramStart"/>
      <w:r w:rsidR="0080294B" w:rsidRPr="007A395D">
        <w:rPr>
          <w:b/>
        </w:rPr>
        <w:t>□</w:t>
      </w:r>
      <w:r w:rsidR="0080294B" w:rsidRPr="007A395D">
        <w:t xml:space="preserve">  </w:t>
      </w:r>
      <w:r w:rsidR="003D2DC1" w:rsidRPr="007A395D">
        <w:t>VTS</w:t>
      </w:r>
      <w:proofErr w:type="gramEnd"/>
      <w:r w:rsidR="0080294B" w:rsidRPr="007A395D">
        <w:tab/>
      </w:r>
      <w:r w:rsidR="0080294B" w:rsidRPr="007A395D">
        <w:tab/>
      </w:r>
      <w:r w:rsidR="0080294B" w:rsidRPr="007A395D">
        <w:tab/>
      </w:r>
      <w:r w:rsidR="0080294B" w:rsidRPr="007A395D">
        <w:tab/>
      </w:r>
      <w:r w:rsidR="0080294B" w:rsidRPr="007A395D">
        <w:tab/>
      </w:r>
      <w:r w:rsidR="00037DF4" w:rsidRPr="007A395D">
        <w:tab/>
      </w:r>
      <w:r w:rsidR="00037DF4" w:rsidRPr="007A395D">
        <w:tab/>
      </w:r>
      <w:r w:rsidR="0080294B" w:rsidRPr="007A395D">
        <w:rPr>
          <w:b/>
        </w:rPr>
        <w:t>□</w:t>
      </w:r>
      <w:r w:rsidR="0080294B" w:rsidRPr="007A395D">
        <w:t xml:space="preserve">  Information</w:t>
      </w:r>
    </w:p>
    <w:p w:rsidR="0080294B" w:rsidRPr="007A395D" w:rsidRDefault="0080294B" w:rsidP="006F2B88">
      <w:pPr>
        <w:pStyle w:val="BodyText"/>
      </w:pPr>
    </w:p>
    <w:p w:rsidR="00A446C9" w:rsidRPr="007A395D" w:rsidRDefault="00A446C9" w:rsidP="006F2B88">
      <w:pPr>
        <w:pStyle w:val="BodyText"/>
      </w:pPr>
      <w:r w:rsidRPr="007A395D">
        <w:t>Agenda item</w:t>
      </w:r>
      <w:r w:rsidR="00037DF4" w:rsidRPr="007A395D">
        <w:t xml:space="preserve"> </w:t>
      </w:r>
      <w:r w:rsidR="00037DF4" w:rsidRPr="007A395D">
        <w:rPr>
          <w:rStyle w:val="FootnoteReference"/>
          <w:rFonts w:ascii="Calibri" w:hAnsi="Calibri"/>
          <w:sz w:val="22"/>
          <w:vertAlign w:val="superscript"/>
        </w:rPr>
        <w:footnoteReference w:id="2"/>
      </w:r>
      <w:r w:rsidR="001C44A3" w:rsidRPr="007A395D">
        <w:tab/>
      </w:r>
      <w:r w:rsidR="002C1170">
        <w:tab/>
      </w:r>
      <w:r w:rsidR="002C1170">
        <w:tab/>
      </w:r>
      <w:r w:rsidR="0003697F">
        <w:rPr>
          <w:rFonts w:ascii="Calibri" w:hAnsi="Calibri"/>
        </w:rPr>
        <w:t>1</w:t>
      </w:r>
      <w:bookmarkStart w:id="0" w:name="_GoBack"/>
      <w:bookmarkEnd w:id="0"/>
      <w:r w:rsidR="0003697F">
        <w:rPr>
          <w:rFonts w:ascii="Calibri" w:hAnsi="Calibri"/>
        </w:rPr>
        <w:t>3</w:t>
      </w:r>
    </w:p>
    <w:p w:rsidR="00A446C9" w:rsidRPr="007A395D" w:rsidRDefault="0080294B" w:rsidP="006F2B88">
      <w:pPr>
        <w:pStyle w:val="BodyText"/>
      </w:pPr>
      <w:r w:rsidRPr="007A395D">
        <w:t xml:space="preserve">Technical Domain / </w:t>
      </w:r>
      <w:r w:rsidR="00A446C9" w:rsidRPr="007A395D">
        <w:t>Task Number</w:t>
      </w:r>
      <w:r w:rsidR="00037DF4" w:rsidRPr="007A395D">
        <w:t xml:space="preserve"> </w:t>
      </w:r>
      <w:r w:rsidR="00037DF4" w:rsidRPr="007A395D">
        <w:rPr>
          <w:vertAlign w:val="superscript"/>
        </w:rPr>
        <w:t>2</w:t>
      </w:r>
      <w:r w:rsidR="001C44A3" w:rsidRPr="007A395D">
        <w:tab/>
      </w:r>
      <w:r w:rsidRPr="007A395D">
        <w:t>…………………………………</w:t>
      </w:r>
    </w:p>
    <w:p w:rsidR="00362CD9" w:rsidRPr="00B7782D" w:rsidRDefault="00362CD9" w:rsidP="006F2B88">
      <w:pPr>
        <w:pStyle w:val="BodyText"/>
        <w:rPr>
          <w:lang w:val="en-US"/>
        </w:rPr>
      </w:pPr>
      <w:r w:rsidRPr="009260AA">
        <w:rPr>
          <w:lang w:val="en-US"/>
        </w:rPr>
        <w:t>Author(s)</w:t>
      </w:r>
      <w:r w:rsidR="00FE5674" w:rsidRPr="009260AA">
        <w:rPr>
          <w:lang w:val="en-US"/>
        </w:rPr>
        <w:t xml:space="preserve"> / Submitter(s)</w:t>
      </w:r>
      <w:r w:rsidRPr="009260AA">
        <w:rPr>
          <w:lang w:val="en-US"/>
        </w:rPr>
        <w:tab/>
      </w:r>
      <w:r w:rsidR="0080294B" w:rsidRPr="009260AA">
        <w:rPr>
          <w:lang w:val="en-US"/>
        </w:rPr>
        <w:tab/>
      </w:r>
      <w:r w:rsidR="00A75F4F" w:rsidRPr="00B7782D">
        <w:rPr>
          <w:lang w:val="en-US"/>
        </w:rPr>
        <w:t xml:space="preserve">Manuel </w:t>
      </w:r>
      <w:proofErr w:type="spellStart"/>
      <w:r w:rsidR="00A75F4F" w:rsidRPr="00B7782D">
        <w:rPr>
          <w:lang w:val="en-US"/>
        </w:rPr>
        <w:t>López</w:t>
      </w:r>
      <w:proofErr w:type="spellEnd"/>
      <w:r w:rsidR="00A75F4F" w:rsidRPr="00B7782D">
        <w:rPr>
          <w:lang w:val="en-US"/>
        </w:rPr>
        <w:t xml:space="preserve"> (GSA), </w:t>
      </w:r>
      <w:r w:rsidR="00D85024" w:rsidRPr="00B7782D">
        <w:rPr>
          <w:lang w:val="en-US"/>
        </w:rPr>
        <w:t xml:space="preserve">Jorge </w:t>
      </w:r>
      <w:proofErr w:type="spellStart"/>
      <w:r w:rsidR="00D85024" w:rsidRPr="00B7782D">
        <w:rPr>
          <w:lang w:val="en-US"/>
        </w:rPr>
        <w:t>Morán</w:t>
      </w:r>
      <w:proofErr w:type="spellEnd"/>
      <w:r w:rsidR="00D85024" w:rsidRPr="00B7782D">
        <w:rPr>
          <w:lang w:val="en-US"/>
        </w:rPr>
        <w:t xml:space="preserve"> (ESSP), </w:t>
      </w:r>
      <w:r w:rsidR="00B307E8">
        <w:rPr>
          <w:lang w:val="en-US"/>
        </w:rPr>
        <w:t xml:space="preserve">Juan </w:t>
      </w:r>
      <w:proofErr w:type="spellStart"/>
      <w:r w:rsidR="00B307E8">
        <w:rPr>
          <w:lang w:val="en-US"/>
        </w:rPr>
        <w:t>Vázquez</w:t>
      </w:r>
      <w:proofErr w:type="spellEnd"/>
      <w:r w:rsidR="006C226B" w:rsidRPr="00B7782D">
        <w:rPr>
          <w:lang w:val="en-US"/>
        </w:rPr>
        <w:t xml:space="preserve"> (ESSP), </w:t>
      </w:r>
    </w:p>
    <w:p w:rsidR="00CF75EC" w:rsidRPr="00B307E8" w:rsidRDefault="00CF75EC" w:rsidP="006F2B88">
      <w:pPr>
        <w:pStyle w:val="BodyText"/>
        <w:rPr>
          <w:lang w:val="es-ES"/>
        </w:rPr>
      </w:pPr>
      <w:r w:rsidRPr="00B7782D">
        <w:rPr>
          <w:lang w:val="en-US"/>
        </w:rPr>
        <w:tab/>
      </w:r>
      <w:r w:rsidR="0016782E" w:rsidRPr="00B7782D">
        <w:rPr>
          <w:lang w:val="en-US"/>
        </w:rPr>
        <w:tab/>
      </w:r>
      <w:r w:rsidR="0016782E" w:rsidRPr="00B7782D">
        <w:rPr>
          <w:lang w:val="en-US"/>
        </w:rPr>
        <w:tab/>
      </w:r>
      <w:r w:rsidR="0016782E" w:rsidRPr="00B7782D">
        <w:rPr>
          <w:lang w:val="en-US"/>
        </w:rPr>
        <w:tab/>
      </w:r>
      <w:r w:rsidR="00B307E8" w:rsidRPr="00B307E8">
        <w:rPr>
          <w:lang w:val="es-ES"/>
        </w:rPr>
        <w:t xml:space="preserve">Pedro Pintor (ESSP), </w:t>
      </w:r>
      <w:r w:rsidR="00D85024" w:rsidRPr="00B307E8">
        <w:rPr>
          <w:lang w:val="es-ES"/>
        </w:rPr>
        <w:t>María Mota (ESSP)</w:t>
      </w:r>
    </w:p>
    <w:p w:rsidR="00B7782D" w:rsidRPr="00B307E8" w:rsidRDefault="00B7782D" w:rsidP="006F2B88">
      <w:pPr>
        <w:pStyle w:val="BodyText"/>
        <w:rPr>
          <w:lang w:val="es-ES"/>
        </w:rPr>
      </w:pPr>
    </w:p>
    <w:p w:rsidR="00A446C9" w:rsidRPr="00605E43" w:rsidRDefault="00B249EB" w:rsidP="00A446C9">
      <w:pPr>
        <w:pStyle w:val="Title"/>
        <w:rPr>
          <w:rFonts w:ascii="Calibri" w:hAnsi="Calibri"/>
          <w:color w:val="0070C0"/>
        </w:rPr>
      </w:pPr>
      <w:r>
        <w:rPr>
          <w:rFonts w:ascii="Calibri" w:hAnsi="Calibri"/>
          <w:color w:val="0070C0"/>
        </w:rPr>
        <w:t>Relevant architectures for the t</w:t>
      </w:r>
      <w:r w:rsidR="00F767FC">
        <w:rPr>
          <w:rFonts w:ascii="Calibri" w:hAnsi="Calibri"/>
          <w:color w:val="0070C0"/>
        </w:rPr>
        <w:t xml:space="preserve">ransmission of SBAS corrections over </w:t>
      </w:r>
      <w:r>
        <w:rPr>
          <w:rFonts w:ascii="Calibri" w:hAnsi="Calibri"/>
          <w:color w:val="0070C0"/>
        </w:rPr>
        <w:t>existing maritime AtoN</w:t>
      </w:r>
      <w:r w:rsidR="005A186F">
        <w:rPr>
          <w:rFonts w:ascii="Calibri" w:hAnsi="Calibri"/>
          <w:color w:val="0070C0"/>
        </w:rPr>
        <w:t xml:space="preserve"> -</w:t>
      </w:r>
      <w:r>
        <w:rPr>
          <w:rFonts w:ascii="Calibri" w:hAnsi="Calibri"/>
          <w:color w:val="0070C0"/>
        </w:rPr>
        <w:t xml:space="preserve"> </w:t>
      </w:r>
      <w:r w:rsidR="005A186F">
        <w:rPr>
          <w:rFonts w:ascii="Calibri" w:hAnsi="Calibri"/>
          <w:color w:val="0070C0"/>
        </w:rPr>
        <w:t xml:space="preserve">two cases studies: </w:t>
      </w:r>
      <w:r>
        <w:rPr>
          <w:rFonts w:ascii="Calibri" w:hAnsi="Calibri"/>
          <w:color w:val="0070C0"/>
        </w:rPr>
        <w:t xml:space="preserve">IALA beacon </w:t>
      </w:r>
      <w:r w:rsidR="005A186F">
        <w:rPr>
          <w:rFonts w:ascii="Calibri" w:hAnsi="Calibri"/>
          <w:color w:val="0070C0"/>
        </w:rPr>
        <w:t>and</w:t>
      </w:r>
      <w:r>
        <w:rPr>
          <w:rFonts w:ascii="Calibri" w:hAnsi="Calibri"/>
          <w:color w:val="0070C0"/>
        </w:rPr>
        <w:t xml:space="preserve"> AIS</w:t>
      </w:r>
    </w:p>
    <w:p w:rsidR="00A446C9" w:rsidRPr="00605E43" w:rsidRDefault="00A446C9" w:rsidP="00605E43">
      <w:pPr>
        <w:pStyle w:val="Heading1"/>
      </w:pPr>
      <w:r w:rsidRPr="00605E43">
        <w:t>Summary</w:t>
      </w:r>
    </w:p>
    <w:p w:rsidR="0061356A" w:rsidRPr="0048565F" w:rsidRDefault="00F767FC" w:rsidP="0048565F">
      <w:pPr>
        <w:pStyle w:val="BodyText"/>
      </w:pPr>
      <w:r w:rsidRPr="00306423">
        <w:t xml:space="preserve">The </w:t>
      </w:r>
      <w:r>
        <w:t xml:space="preserve">present document </w:t>
      </w:r>
      <w:r w:rsidRPr="00306423">
        <w:t>provide</w:t>
      </w:r>
      <w:r>
        <w:t xml:space="preserve">s a </w:t>
      </w:r>
      <w:r w:rsidRPr="00306423">
        <w:t xml:space="preserve">description of </w:t>
      </w:r>
      <w:r w:rsidR="00B249EB">
        <w:t>the most relevant</w:t>
      </w:r>
      <w:r>
        <w:t xml:space="preserve"> potential </w:t>
      </w:r>
      <w:r w:rsidR="00B249EB">
        <w:t xml:space="preserve">architectures that could be used </w:t>
      </w:r>
      <w:r w:rsidRPr="00306423">
        <w:t>to broadcast DGNSS corrections generated from the EGNOS (SBAS) message (obtained from SIS and/or EDAS) over IALA beacons</w:t>
      </w:r>
      <w:r>
        <w:t xml:space="preserve"> or AIS</w:t>
      </w:r>
      <w:r w:rsidR="00112DCB">
        <w:t>. The document includes a</w:t>
      </w:r>
      <w:r>
        <w:t>lso a d</w:t>
      </w:r>
      <w:r w:rsidR="00342832" w:rsidRPr="00306423">
        <w:t xml:space="preserve">escription </w:t>
      </w:r>
      <w:r w:rsidR="005F3988">
        <w:t xml:space="preserve">on how SBAS messages </w:t>
      </w:r>
      <w:r w:rsidR="002C0351">
        <w:t xml:space="preserve">in RTCA format </w:t>
      </w:r>
      <w:r w:rsidR="005F3988">
        <w:t>could be mapped into RTCM 2.x format</w:t>
      </w:r>
      <w:r w:rsidR="00EC0EA3">
        <w:t>.</w:t>
      </w:r>
    </w:p>
    <w:p w:rsidR="001C44A3" w:rsidRPr="00605E43" w:rsidRDefault="00BD4E6F" w:rsidP="00605E43">
      <w:pPr>
        <w:pStyle w:val="Heading2"/>
      </w:pPr>
      <w:r w:rsidRPr="00605E43">
        <w:t>Purpose</w:t>
      </w:r>
      <w:r w:rsidR="004D1D85" w:rsidRPr="00605E43">
        <w:t xml:space="preserve"> of the document</w:t>
      </w:r>
    </w:p>
    <w:p w:rsidR="003E28C2" w:rsidRDefault="003E28C2" w:rsidP="006F2B88">
      <w:pPr>
        <w:pStyle w:val="BodyText"/>
      </w:pPr>
      <w:r>
        <w:t>The purpose of the document is to pr</w:t>
      </w:r>
      <w:r w:rsidRPr="003E28C2">
        <w:t xml:space="preserve">ovide </w:t>
      </w:r>
      <w:r>
        <w:t>this technical d</w:t>
      </w:r>
      <w:r w:rsidRPr="003E28C2">
        <w:t xml:space="preserve">escription </w:t>
      </w:r>
      <w:r>
        <w:t xml:space="preserve">for the Committee review in order to obtain comments </w:t>
      </w:r>
      <w:r w:rsidR="009D11EB">
        <w:t xml:space="preserve">and </w:t>
      </w:r>
      <w:r>
        <w:t>to be considered in the development of the associated IALA Guid</w:t>
      </w:r>
      <w:r w:rsidR="002C0351">
        <w:t>ance material</w:t>
      </w:r>
      <w:r>
        <w:t>.</w:t>
      </w:r>
    </w:p>
    <w:p w:rsidR="0099663A" w:rsidRPr="007A395D" w:rsidRDefault="0099663A" w:rsidP="0099663A">
      <w:pPr>
        <w:pStyle w:val="Heading1"/>
      </w:pPr>
      <w:r w:rsidRPr="007A395D">
        <w:t>References</w:t>
      </w:r>
    </w:p>
    <w:p w:rsidR="002524AB" w:rsidRPr="002524AB" w:rsidRDefault="002524AB" w:rsidP="002524AB">
      <w:pPr>
        <w:pStyle w:val="References"/>
        <w:rPr>
          <w:rFonts w:ascii="Calibri" w:hAnsi="Calibri"/>
        </w:rPr>
      </w:pPr>
      <w:bookmarkStart w:id="1" w:name="_Ref455668113"/>
      <w:r w:rsidRPr="002524AB">
        <w:rPr>
          <w:rFonts w:ascii="Calibri" w:hAnsi="Calibri"/>
        </w:rPr>
        <w:t>MOPS DO-229D Minimum Operational Performance Standards for Global Positioning System/Wide Area Augmentation System Airborne Equipment, 12/13/2006</w:t>
      </w:r>
      <w:bookmarkEnd w:id="1"/>
    </w:p>
    <w:p w:rsidR="00240DAE" w:rsidRDefault="00B249EB" w:rsidP="00B249EB">
      <w:pPr>
        <w:pStyle w:val="References"/>
        <w:rPr>
          <w:rFonts w:ascii="Calibri" w:hAnsi="Calibri"/>
        </w:rPr>
      </w:pPr>
      <w:r>
        <w:rPr>
          <w:rFonts w:ascii="Calibri" w:hAnsi="Calibri"/>
        </w:rPr>
        <w:t>ENAV18-13.16 Transmission of SBAS corrections over AIS</w:t>
      </w:r>
    </w:p>
    <w:p w:rsidR="00B249EB" w:rsidRDefault="00B249EB" w:rsidP="00B249EB">
      <w:pPr>
        <w:pStyle w:val="References"/>
        <w:rPr>
          <w:rFonts w:ascii="Calibri" w:hAnsi="Calibri"/>
        </w:rPr>
      </w:pPr>
      <w:r w:rsidRPr="007A395D">
        <w:rPr>
          <w:rFonts w:ascii="Calibri" w:hAnsi="Calibri"/>
        </w:rPr>
        <w:t>ENAV18-</w:t>
      </w:r>
      <w:r>
        <w:rPr>
          <w:rFonts w:ascii="Calibri" w:hAnsi="Calibri"/>
        </w:rPr>
        <w:t>13.20 Transmission of SBAS c</w:t>
      </w:r>
      <w:r w:rsidRPr="00B249EB">
        <w:rPr>
          <w:rFonts w:ascii="Calibri" w:hAnsi="Calibri"/>
        </w:rPr>
        <w:t>orrections</w:t>
      </w:r>
      <w:r>
        <w:rPr>
          <w:rFonts w:ascii="Calibri" w:hAnsi="Calibri"/>
        </w:rPr>
        <w:t xml:space="preserve"> </w:t>
      </w:r>
      <w:r w:rsidRPr="00B249EB">
        <w:rPr>
          <w:rFonts w:ascii="Calibri" w:hAnsi="Calibri"/>
        </w:rPr>
        <w:t>over</w:t>
      </w:r>
      <w:r>
        <w:rPr>
          <w:rFonts w:ascii="Calibri" w:hAnsi="Calibri"/>
        </w:rPr>
        <w:t xml:space="preserve"> IALA </w:t>
      </w:r>
      <w:r w:rsidRPr="00B249EB">
        <w:rPr>
          <w:rFonts w:ascii="Calibri" w:hAnsi="Calibri"/>
        </w:rPr>
        <w:t>beacons</w:t>
      </w:r>
    </w:p>
    <w:p w:rsidR="00EC293C" w:rsidRDefault="00EC293C" w:rsidP="00B249EB">
      <w:pPr>
        <w:pStyle w:val="References"/>
        <w:rPr>
          <w:rFonts w:ascii="Calibri" w:hAnsi="Calibri"/>
        </w:rPr>
      </w:pPr>
      <w:bookmarkStart w:id="2" w:name="_Ref455583383"/>
      <w:r w:rsidRPr="00EC293C">
        <w:rPr>
          <w:rFonts w:ascii="Calibri" w:hAnsi="Calibri"/>
        </w:rPr>
        <w:t>IMO Resolution A.1046 (27), November 2011.</w:t>
      </w:r>
      <w:bookmarkEnd w:id="2"/>
    </w:p>
    <w:p w:rsidR="00E80720" w:rsidRDefault="00E80720" w:rsidP="00B249EB">
      <w:pPr>
        <w:pStyle w:val="References"/>
        <w:rPr>
          <w:rFonts w:ascii="Calibri" w:hAnsi="Calibri"/>
        </w:rPr>
      </w:pPr>
      <w:bookmarkStart w:id="3" w:name="_Ref455668049"/>
      <w:r w:rsidRPr="00E80720">
        <w:rPr>
          <w:rFonts w:ascii="Calibri" w:hAnsi="Calibri"/>
        </w:rPr>
        <w:t>RTCM 10402.3 Recommended Standards For Differential GNSS services, August 20, 2001</w:t>
      </w:r>
      <w:bookmarkEnd w:id="3"/>
    </w:p>
    <w:p w:rsidR="00B85275" w:rsidRDefault="00B85275" w:rsidP="00B249EB">
      <w:pPr>
        <w:pStyle w:val="References"/>
        <w:rPr>
          <w:rFonts w:ascii="Calibri" w:hAnsi="Calibri"/>
        </w:rPr>
      </w:pPr>
      <w:bookmarkStart w:id="4" w:name="_Ref456088252"/>
      <w:r w:rsidRPr="00140F15">
        <w:rPr>
          <w:rFonts w:ascii="Calibri" w:hAnsi="Calibri"/>
        </w:rPr>
        <w:t>IALA Guideline 1112, Performance and Monitoring of DGNSS Services in the Frequency Band 283.5 – 325 kHz, Edition 1, May 2015</w:t>
      </w:r>
      <w:bookmarkEnd w:id="4"/>
    </w:p>
    <w:p w:rsidR="00AB1FFC" w:rsidRDefault="00AB1FFC" w:rsidP="00B249EB">
      <w:pPr>
        <w:pStyle w:val="References"/>
        <w:rPr>
          <w:rFonts w:ascii="Calibri" w:hAnsi="Calibri"/>
        </w:rPr>
      </w:pPr>
      <w:r w:rsidRPr="00AB1FFC">
        <w:rPr>
          <w:rFonts w:ascii="Calibri" w:hAnsi="Calibri"/>
        </w:rPr>
        <w:t>IALA Recommendation A-124 Appendix 16 – DGNSS Broadcasts from an AIS Service</w:t>
      </w:r>
    </w:p>
    <w:p w:rsidR="00B7782D" w:rsidRPr="002524AB" w:rsidRDefault="00B7782D" w:rsidP="00B249EB">
      <w:pPr>
        <w:pStyle w:val="References"/>
        <w:rPr>
          <w:rFonts w:ascii="Calibri" w:hAnsi="Calibri"/>
        </w:rPr>
      </w:pPr>
      <w:bookmarkStart w:id="5" w:name="_Ref459272632"/>
      <w:r w:rsidRPr="00B7782D">
        <w:rPr>
          <w:rFonts w:ascii="Calibri" w:hAnsi="Calibri"/>
        </w:rPr>
        <w:t>IALA Guidelines On Ship-Borne Automatic Identification System (AIS) Volume I Part Ii: Technical Aspects Of AIS, Edition 1.1, December 2002</w:t>
      </w:r>
      <w:bookmarkEnd w:id="5"/>
    </w:p>
    <w:p w:rsidR="00A446C9" w:rsidRPr="007A395D" w:rsidRDefault="00A446C9" w:rsidP="00605E43">
      <w:pPr>
        <w:pStyle w:val="Heading1"/>
      </w:pPr>
      <w:r w:rsidRPr="007A395D">
        <w:lastRenderedPageBreak/>
        <w:t>Action requested of the Committee</w:t>
      </w:r>
    </w:p>
    <w:p w:rsidR="003B3763" w:rsidRPr="007A395D" w:rsidRDefault="00B960B0" w:rsidP="00CF75EC">
      <w:pPr>
        <w:spacing w:after="120"/>
        <w:jc w:val="both"/>
        <w:rPr>
          <w:rFonts w:ascii="Calibri" w:hAnsi="Calibri"/>
        </w:rPr>
      </w:pPr>
      <w:r w:rsidRPr="007A395D">
        <w:rPr>
          <w:rFonts w:ascii="Calibri" w:hAnsi="Calibri"/>
        </w:rPr>
        <w:t xml:space="preserve">The Committee is </w:t>
      </w:r>
      <w:r>
        <w:rPr>
          <w:rFonts w:ascii="Calibri" w:hAnsi="Calibri"/>
        </w:rPr>
        <w:t xml:space="preserve">invited </w:t>
      </w:r>
      <w:r w:rsidRPr="00437F9D">
        <w:rPr>
          <w:rFonts w:ascii="Calibri" w:hAnsi="Calibri"/>
        </w:rPr>
        <w:t>to consider the information provided in the Annex</w:t>
      </w:r>
      <w:r w:rsidR="0037670B">
        <w:t>.</w:t>
      </w:r>
      <w:r w:rsidR="0048565F">
        <w:t xml:space="preserve"> </w:t>
      </w:r>
    </w:p>
    <w:p w:rsidR="004D1D85" w:rsidRPr="007A395D" w:rsidRDefault="004D1D85" w:rsidP="00605E43">
      <w:pPr>
        <w:pStyle w:val="Annex"/>
        <w:sectPr w:rsidR="004D1D85" w:rsidRPr="007A395D" w:rsidSect="007A395D">
          <w:headerReference w:type="even" r:id="rId8"/>
          <w:headerReference w:type="default" r:id="rId9"/>
          <w:footerReference w:type="default" r:id="rId10"/>
          <w:headerReference w:type="first" r:id="rId11"/>
          <w:pgSz w:w="11906" w:h="16838"/>
          <w:pgMar w:top="709" w:right="991" w:bottom="1134" w:left="1134" w:header="709" w:footer="709" w:gutter="0"/>
          <w:cols w:space="708"/>
          <w:titlePg/>
          <w:docGrid w:linePitch="360"/>
        </w:sectPr>
      </w:pPr>
    </w:p>
    <w:p w:rsidR="006A7680" w:rsidRPr="006A7680" w:rsidRDefault="00A97EDC" w:rsidP="00A37C89">
      <w:pPr>
        <w:pStyle w:val="Annex"/>
        <w:numPr>
          <w:ilvl w:val="0"/>
          <w:numId w:val="16"/>
        </w:numPr>
        <w:rPr>
          <w:color w:val="4F81BD" w:themeColor="accent1"/>
        </w:rPr>
      </w:pPr>
      <w:r w:rsidRPr="006A7680">
        <w:rPr>
          <w:color w:val="4F81BD" w:themeColor="accent1"/>
        </w:rPr>
        <w:lastRenderedPageBreak/>
        <w:t>ANNEX</w:t>
      </w:r>
      <w:r w:rsidR="00965950" w:rsidRPr="006A7680">
        <w:rPr>
          <w:color w:val="4F81BD" w:themeColor="accent1"/>
        </w:rPr>
        <w:t xml:space="preserve"> 1</w:t>
      </w:r>
      <w:r w:rsidRPr="006A7680">
        <w:rPr>
          <w:color w:val="4F81BD" w:themeColor="accent1"/>
        </w:rPr>
        <w:t xml:space="preserve">: </w:t>
      </w:r>
      <w:bookmarkStart w:id="6" w:name="_Toc65318733"/>
      <w:r w:rsidR="006A7680" w:rsidRPr="006A7680">
        <w:rPr>
          <w:color w:val="4F81BD" w:themeColor="accent1"/>
        </w:rPr>
        <w:t>Relevant architectures for the transmission of SBAS corrections over existing maritime AtoN: IALA beacon or</w:t>
      </w:r>
      <w:r w:rsidR="006A7680">
        <w:rPr>
          <w:color w:val="4F81BD" w:themeColor="accent1"/>
        </w:rPr>
        <w:t xml:space="preserve"> AIS</w:t>
      </w:r>
    </w:p>
    <w:p w:rsidR="006A7680" w:rsidRDefault="000026F6" w:rsidP="00FE0FFF">
      <w:pPr>
        <w:pStyle w:val="BodyText"/>
      </w:pPr>
      <w:r w:rsidRPr="00306423">
        <w:t xml:space="preserve">The </w:t>
      </w:r>
      <w:r>
        <w:t xml:space="preserve">present document </w:t>
      </w:r>
      <w:r w:rsidRPr="00306423">
        <w:t>provide</w:t>
      </w:r>
      <w:r>
        <w:t xml:space="preserve">s a </w:t>
      </w:r>
      <w:r w:rsidRPr="00306423">
        <w:t xml:space="preserve">description </w:t>
      </w:r>
      <w:r>
        <w:t>o</w:t>
      </w:r>
      <w:r w:rsidR="006A7680">
        <w:t xml:space="preserve">f </w:t>
      </w:r>
      <w:r w:rsidR="008D7490">
        <w:t>the</w:t>
      </w:r>
      <w:r w:rsidR="006A7680">
        <w:t xml:space="preserve"> different architectures which have been identified as the most suitable for the transmission of </w:t>
      </w:r>
      <w:r>
        <w:t>SBAS messages</w:t>
      </w:r>
      <w:r w:rsidR="006A7680">
        <w:t xml:space="preserve"> over existing AtoN: IALA beacons or AIS.</w:t>
      </w:r>
    </w:p>
    <w:p w:rsidR="00B27240" w:rsidRPr="000026F6" w:rsidRDefault="00B27240" w:rsidP="006F2B88">
      <w:pPr>
        <w:pStyle w:val="BodyText"/>
      </w:pPr>
      <w:r w:rsidRPr="000026F6">
        <w:t>This information is structured as follows:</w:t>
      </w:r>
    </w:p>
    <w:p w:rsidR="006A7680" w:rsidRPr="006A7680" w:rsidRDefault="00B27240" w:rsidP="00A37C89">
      <w:pPr>
        <w:pStyle w:val="Bullet1"/>
        <w:numPr>
          <w:ilvl w:val="0"/>
          <w:numId w:val="13"/>
        </w:numPr>
        <w:ind w:left="1134" w:hanging="567"/>
        <w:rPr>
          <w:rFonts w:ascii="Calibri" w:hAnsi="Calibri"/>
        </w:rPr>
      </w:pPr>
      <w:r w:rsidRPr="006A7680">
        <w:rPr>
          <w:rFonts w:ascii="Calibri" w:hAnsi="Calibri"/>
        </w:rPr>
        <w:t xml:space="preserve">Section 1: </w:t>
      </w:r>
      <w:r w:rsidR="006A7680" w:rsidRPr="006A7680">
        <w:rPr>
          <w:rFonts w:ascii="Calibri" w:hAnsi="Calibri"/>
        </w:rPr>
        <w:t>Description</w:t>
      </w:r>
      <w:r w:rsidR="006F0C48" w:rsidRPr="006A7680">
        <w:rPr>
          <w:rFonts w:ascii="Calibri" w:hAnsi="Calibri"/>
        </w:rPr>
        <w:t xml:space="preserve"> of the </w:t>
      </w:r>
      <w:r w:rsidR="006A7680" w:rsidRPr="006A7680">
        <w:rPr>
          <w:rFonts w:ascii="Calibri" w:hAnsi="Calibri"/>
        </w:rPr>
        <w:t>most relevant architectures for the transmission of SBAS c</w:t>
      </w:r>
      <w:r w:rsidR="009260AA">
        <w:rPr>
          <w:rFonts w:ascii="Calibri" w:hAnsi="Calibri"/>
        </w:rPr>
        <w:t>orrections over IALA beacons</w:t>
      </w:r>
      <w:r w:rsidR="006A7680" w:rsidRPr="006A7680">
        <w:rPr>
          <w:rFonts w:ascii="Calibri" w:hAnsi="Calibri"/>
        </w:rPr>
        <w:t>.</w:t>
      </w:r>
    </w:p>
    <w:p w:rsidR="009260AA" w:rsidRDefault="009260AA" w:rsidP="00A37C89">
      <w:pPr>
        <w:pStyle w:val="Bullet1"/>
        <w:numPr>
          <w:ilvl w:val="0"/>
          <w:numId w:val="13"/>
        </w:numPr>
        <w:ind w:left="1134" w:hanging="567"/>
        <w:rPr>
          <w:rFonts w:ascii="Calibri" w:hAnsi="Calibri"/>
        </w:rPr>
      </w:pPr>
      <w:r>
        <w:rPr>
          <w:rFonts w:ascii="Calibri" w:hAnsi="Calibri"/>
        </w:rPr>
        <w:t xml:space="preserve">Section 2: </w:t>
      </w:r>
      <w:r w:rsidRPr="006A7680">
        <w:rPr>
          <w:rFonts w:ascii="Calibri" w:hAnsi="Calibri"/>
        </w:rPr>
        <w:t>Description of the most relevant architectures for the transmissio</w:t>
      </w:r>
      <w:r>
        <w:rPr>
          <w:rFonts w:ascii="Calibri" w:hAnsi="Calibri"/>
        </w:rPr>
        <w:t xml:space="preserve">n of SBAS corrections over </w:t>
      </w:r>
      <w:r w:rsidRPr="006A7680">
        <w:rPr>
          <w:rFonts w:ascii="Calibri" w:hAnsi="Calibri"/>
        </w:rPr>
        <w:t>AIS.</w:t>
      </w:r>
    </w:p>
    <w:p w:rsidR="006A7680" w:rsidRPr="006A7680" w:rsidRDefault="00B27240" w:rsidP="00A37C89">
      <w:pPr>
        <w:pStyle w:val="Bullet1"/>
        <w:numPr>
          <w:ilvl w:val="0"/>
          <w:numId w:val="13"/>
        </w:numPr>
        <w:ind w:left="1134" w:hanging="567"/>
        <w:rPr>
          <w:rFonts w:ascii="Calibri" w:hAnsi="Calibri"/>
        </w:rPr>
      </w:pPr>
      <w:r w:rsidRPr="006A7680">
        <w:rPr>
          <w:rFonts w:ascii="Calibri" w:hAnsi="Calibri"/>
        </w:rPr>
        <w:t xml:space="preserve">Section </w:t>
      </w:r>
      <w:r w:rsidR="00140F15">
        <w:rPr>
          <w:rFonts w:ascii="Calibri" w:hAnsi="Calibri"/>
        </w:rPr>
        <w:t>3</w:t>
      </w:r>
      <w:r w:rsidRPr="006A7680">
        <w:rPr>
          <w:rFonts w:ascii="Calibri" w:hAnsi="Calibri"/>
        </w:rPr>
        <w:t xml:space="preserve">: </w:t>
      </w:r>
      <w:r w:rsidR="006A7680" w:rsidRPr="006A7680">
        <w:rPr>
          <w:rFonts w:ascii="Calibri" w:hAnsi="Calibri"/>
        </w:rPr>
        <w:t>this section provides a description on how SBAS messages in RTCA format could be mapped into to RTCM 2.x format.</w:t>
      </w:r>
    </w:p>
    <w:bookmarkEnd w:id="6"/>
    <w:p w:rsidR="00ED711C" w:rsidRDefault="00ED711C" w:rsidP="00ED711C">
      <w:pPr>
        <w:pStyle w:val="BodyText"/>
      </w:pPr>
    </w:p>
    <w:p w:rsidR="006A7680" w:rsidRDefault="00F01601" w:rsidP="00ED711C">
      <w:pPr>
        <w:pStyle w:val="AnnexHeading1"/>
      </w:pPr>
      <w:bookmarkStart w:id="7" w:name="_Toc449627781"/>
      <w:bookmarkStart w:id="8" w:name="_Ref434400435"/>
      <w:bookmarkStart w:id="9" w:name="_Toc450116875"/>
      <w:r>
        <w:t xml:space="preserve">EGNOS OVER IALA BEACONS: </w:t>
      </w:r>
      <w:r w:rsidR="009260AA">
        <w:t xml:space="preserve">DESCRIPTION OF THE MOST </w:t>
      </w:r>
      <w:r w:rsidR="008D7490">
        <w:t xml:space="preserve">RELEVANT </w:t>
      </w:r>
      <w:r w:rsidR="006A7680">
        <w:t>ARCHITECTURES</w:t>
      </w:r>
      <w:r w:rsidR="009260AA">
        <w:t xml:space="preserve"> </w:t>
      </w:r>
    </w:p>
    <w:p w:rsidR="002D2D66" w:rsidRDefault="00BA25D5" w:rsidP="00140F15">
      <w:pPr>
        <w:pStyle w:val="BodyText"/>
        <w:spacing w:after="0"/>
      </w:pPr>
      <w:r>
        <w:t xml:space="preserve">A </w:t>
      </w:r>
      <w:r w:rsidRPr="00EA4CBB">
        <w:t>detailed</w:t>
      </w:r>
      <w:r w:rsidRPr="00EA4CBB" w:rsidDel="00614937">
        <w:t xml:space="preserve"> </w:t>
      </w:r>
      <w:r w:rsidRPr="00EA4CBB">
        <w:t>assessment</w:t>
      </w:r>
      <w:r w:rsidRPr="00EA4CBB" w:rsidDel="00614937">
        <w:t xml:space="preserve"> of several EGNOS based architectures </w:t>
      </w:r>
      <w:r w:rsidDel="00614937">
        <w:t xml:space="preserve">has been </w:t>
      </w:r>
      <w:r>
        <w:t>performed</w:t>
      </w:r>
      <w:r w:rsidDel="00614937">
        <w:t>.</w:t>
      </w:r>
      <w:r>
        <w:t xml:space="preserve"> The objective of this analysis was to identify the most promising EGNOS based architecture(s) to be considered for deployment in an operational environment. </w:t>
      </w:r>
    </w:p>
    <w:p w:rsidR="002D2D66" w:rsidRDefault="002D2D66" w:rsidP="002D2D66">
      <w:pPr>
        <w:pStyle w:val="BodyText"/>
        <w:spacing w:after="0"/>
      </w:pPr>
    </w:p>
    <w:p w:rsidR="002D2D66" w:rsidRPr="002D2D66" w:rsidRDefault="002D2D66" w:rsidP="002D2D66">
      <w:pPr>
        <w:jc w:val="both"/>
        <w:rPr>
          <w:rFonts w:asciiTheme="minorHAnsi" w:hAnsiTheme="minorHAnsi"/>
        </w:rPr>
      </w:pPr>
      <w:r w:rsidRPr="002D2D66" w:rsidDel="00614937">
        <w:rPr>
          <w:rFonts w:asciiTheme="minorHAnsi" w:hAnsiTheme="minorHAnsi"/>
        </w:rPr>
        <w:t xml:space="preserve">The starting point for this analysis has been the </w:t>
      </w:r>
      <w:r w:rsidRPr="002D2D66">
        <w:rPr>
          <w:rFonts w:asciiTheme="minorHAnsi" w:hAnsiTheme="minorHAnsi"/>
        </w:rPr>
        <w:t>definition</w:t>
      </w:r>
      <w:r w:rsidRPr="002D2D66" w:rsidDel="00614937">
        <w:rPr>
          <w:rFonts w:asciiTheme="minorHAnsi" w:hAnsiTheme="minorHAnsi"/>
        </w:rPr>
        <w:t xml:space="preserve"> of two </w:t>
      </w:r>
      <w:r w:rsidR="00BC3E04">
        <w:rPr>
          <w:rFonts w:asciiTheme="minorHAnsi" w:hAnsiTheme="minorHAnsi"/>
        </w:rPr>
        <w:t>high-level</w:t>
      </w:r>
      <w:r w:rsidRPr="002D2D66" w:rsidDel="00614937">
        <w:rPr>
          <w:rFonts w:asciiTheme="minorHAnsi" w:hAnsiTheme="minorHAnsi"/>
        </w:rPr>
        <w:t xml:space="preserve"> architectures for the set-up of an EGNOS based DGNSS service</w:t>
      </w:r>
      <w:r w:rsidRPr="002D2D66">
        <w:rPr>
          <w:rFonts w:asciiTheme="minorHAnsi" w:hAnsiTheme="minorHAnsi"/>
        </w:rPr>
        <w:t>,</w:t>
      </w:r>
      <w:r w:rsidRPr="002D2D66" w:rsidDel="00614937">
        <w:rPr>
          <w:rFonts w:asciiTheme="minorHAnsi" w:hAnsiTheme="minorHAnsi"/>
        </w:rPr>
        <w:t xml:space="preserve"> </w:t>
      </w:r>
      <w:r w:rsidRPr="002D2D66">
        <w:rPr>
          <w:rFonts w:asciiTheme="minorHAnsi" w:hAnsiTheme="minorHAnsi"/>
        </w:rPr>
        <w:t>with either equipment all sited at the broadcast locations (</w:t>
      </w:r>
      <w:r w:rsidRPr="002D2D66">
        <w:rPr>
          <w:rFonts w:asciiTheme="minorHAnsi" w:hAnsiTheme="minorHAnsi"/>
          <w:b/>
        </w:rPr>
        <w:t>classic approach</w:t>
      </w:r>
      <w:r w:rsidRPr="002D2D66">
        <w:rPr>
          <w:rFonts w:asciiTheme="minorHAnsi" w:hAnsiTheme="minorHAnsi"/>
        </w:rPr>
        <w:t>), or some of the infrastructure is centralized with only the transmitting equipment at the broadcast site (</w:t>
      </w:r>
      <w:r w:rsidRPr="002D2D66">
        <w:rPr>
          <w:rFonts w:asciiTheme="minorHAnsi" w:hAnsiTheme="minorHAnsi"/>
          <w:b/>
        </w:rPr>
        <w:t>network approach</w:t>
      </w:r>
      <w:r w:rsidRPr="002D2D66">
        <w:rPr>
          <w:rFonts w:asciiTheme="minorHAnsi" w:hAnsiTheme="minorHAnsi"/>
        </w:rPr>
        <w:t>).</w:t>
      </w:r>
    </w:p>
    <w:p w:rsidR="002D2D66" w:rsidRPr="002D2D66" w:rsidRDefault="002D2D66" w:rsidP="002D2D66">
      <w:pPr>
        <w:jc w:val="both"/>
        <w:rPr>
          <w:rFonts w:asciiTheme="minorHAnsi" w:hAnsiTheme="minorHAnsi"/>
        </w:rPr>
      </w:pPr>
    </w:p>
    <w:p w:rsidR="002D2D66" w:rsidRPr="002D2D66" w:rsidDel="00614937" w:rsidRDefault="002D2D66" w:rsidP="00EA3754">
      <w:pPr>
        <w:jc w:val="both"/>
        <w:rPr>
          <w:rFonts w:asciiTheme="minorHAnsi" w:hAnsiTheme="minorHAnsi"/>
        </w:rPr>
      </w:pPr>
      <w:r>
        <w:rPr>
          <w:rFonts w:asciiTheme="minorHAnsi" w:hAnsiTheme="minorHAnsi"/>
        </w:rPr>
        <w:t>Then</w:t>
      </w:r>
      <w:r w:rsidRPr="002D2D66" w:rsidDel="00614937">
        <w:rPr>
          <w:rFonts w:asciiTheme="minorHAnsi" w:hAnsiTheme="minorHAnsi"/>
        </w:rPr>
        <w:t xml:space="preserve">, a lower level detail </w:t>
      </w:r>
      <w:r w:rsidRPr="00B252EF" w:rsidDel="00614937">
        <w:rPr>
          <w:rFonts w:asciiTheme="minorHAnsi" w:hAnsiTheme="minorHAnsi"/>
        </w:rPr>
        <w:t xml:space="preserve">analysis of several EGNOS based architectures has been </w:t>
      </w:r>
      <w:r w:rsidR="00EC0EA3">
        <w:rPr>
          <w:rFonts w:asciiTheme="minorHAnsi" w:hAnsiTheme="minorHAnsi"/>
        </w:rPr>
        <w:t>performed</w:t>
      </w:r>
      <w:r w:rsidRPr="00B252EF">
        <w:rPr>
          <w:rFonts w:asciiTheme="minorHAnsi" w:hAnsiTheme="minorHAnsi"/>
        </w:rPr>
        <w:t xml:space="preserve">, </w:t>
      </w:r>
      <w:r w:rsidR="00B252EF" w:rsidRPr="00B252EF">
        <w:rPr>
          <w:rFonts w:asciiTheme="minorHAnsi" w:hAnsiTheme="minorHAnsi"/>
        </w:rPr>
        <w:t xml:space="preserve">comparing each architecture to the </w:t>
      </w:r>
      <w:r w:rsidR="00EC0EA3">
        <w:rPr>
          <w:rFonts w:asciiTheme="minorHAnsi" w:hAnsiTheme="minorHAnsi"/>
        </w:rPr>
        <w:t xml:space="preserve">traditional DGNSS architecture (see section </w:t>
      </w:r>
      <w:r w:rsidR="00EC0EA3">
        <w:rPr>
          <w:rFonts w:asciiTheme="minorHAnsi" w:hAnsiTheme="minorHAnsi"/>
        </w:rPr>
        <w:fldChar w:fldCharType="begin"/>
      </w:r>
      <w:r w:rsidR="00EC0EA3">
        <w:rPr>
          <w:rFonts w:asciiTheme="minorHAnsi" w:hAnsiTheme="minorHAnsi"/>
        </w:rPr>
        <w:instrText xml:space="preserve"> REF _Ref456610364 \r \h </w:instrText>
      </w:r>
      <w:r w:rsidR="00EC0EA3">
        <w:rPr>
          <w:rFonts w:asciiTheme="minorHAnsi" w:hAnsiTheme="minorHAnsi"/>
        </w:rPr>
      </w:r>
      <w:r w:rsidR="00EC0EA3">
        <w:rPr>
          <w:rFonts w:asciiTheme="minorHAnsi" w:hAnsiTheme="minorHAnsi"/>
        </w:rPr>
        <w:fldChar w:fldCharType="separate"/>
      </w:r>
      <w:r w:rsidR="00E15EEB">
        <w:rPr>
          <w:rFonts w:asciiTheme="minorHAnsi" w:hAnsiTheme="minorHAnsi"/>
        </w:rPr>
        <w:t>1.1</w:t>
      </w:r>
      <w:r w:rsidR="00EC0EA3">
        <w:rPr>
          <w:rFonts w:asciiTheme="minorHAnsi" w:hAnsiTheme="minorHAnsi"/>
        </w:rPr>
        <w:fldChar w:fldCharType="end"/>
      </w:r>
      <w:r w:rsidR="00EC0EA3">
        <w:rPr>
          <w:rFonts w:asciiTheme="minorHAnsi" w:hAnsiTheme="minorHAnsi"/>
        </w:rPr>
        <w:t>)</w:t>
      </w:r>
      <w:r w:rsidRPr="00B252EF">
        <w:rPr>
          <w:rFonts w:asciiTheme="minorHAnsi" w:hAnsiTheme="minorHAnsi"/>
        </w:rPr>
        <w:t xml:space="preserve">. </w:t>
      </w:r>
      <w:r w:rsidR="00EA3754" w:rsidRPr="00B252EF">
        <w:rPr>
          <w:rFonts w:asciiTheme="minorHAnsi" w:hAnsiTheme="minorHAnsi"/>
        </w:rPr>
        <w:t>In order to identify the most promising EGNOS based architectures, a trade off analysis has been done, considering the following key features (see section</w:t>
      </w:r>
      <w:r w:rsidR="00EC0EA3">
        <w:rPr>
          <w:rFonts w:asciiTheme="minorHAnsi" w:hAnsiTheme="minorHAnsi"/>
        </w:rPr>
        <w:t xml:space="preserve"> </w:t>
      </w:r>
      <w:r w:rsidR="00EC0EA3">
        <w:rPr>
          <w:rFonts w:asciiTheme="minorHAnsi" w:hAnsiTheme="minorHAnsi"/>
        </w:rPr>
        <w:fldChar w:fldCharType="begin"/>
      </w:r>
      <w:r w:rsidR="00EC0EA3">
        <w:rPr>
          <w:rFonts w:asciiTheme="minorHAnsi" w:hAnsiTheme="minorHAnsi"/>
        </w:rPr>
        <w:instrText xml:space="preserve"> REF _Ref456610520 \r \h </w:instrText>
      </w:r>
      <w:r w:rsidR="00EC0EA3">
        <w:rPr>
          <w:rFonts w:asciiTheme="minorHAnsi" w:hAnsiTheme="minorHAnsi"/>
        </w:rPr>
      </w:r>
      <w:r w:rsidR="00EC0EA3">
        <w:rPr>
          <w:rFonts w:asciiTheme="minorHAnsi" w:hAnsiTheme="minorHAnsi"/>
        </w:rPr>
        <w:fldChar w:fldCharType="separate"/>
      </w:r>
      <w:r w:rsidR="00E15EEB">
        <w:rPr>
          <w:rFonts w:asciiTheme="minorHAnsi" w:hAnsiTheme="minorHAnsi"/>
        </w:rPr>
        <w:t>1.5</w:t>
      </w:r>
      <w:r w:rsidR="00EC0EA3">
        <w:rPr>
          <w:rFonts w:asciiTheme="minorHAnsi" w:hAnsiTheme="minorHAnsi"/>
        </w:rPr>
        <w:fldChar w:fldCharType="end"/>
      </w:r>
      <w:r w:rsidR="00EA3754" w:rsidRPr="00B252EF">
        <w:rPr>
          <w:rFonts w:asciiTheme="minorHAnsi" w:hAnsiTheme="minorHAnsi"/>
        </w:rPr>
        <w:t>):</w:t>
      </w:r>
    </w:p>
    <w:p w:rsidR="002D2D66" w:rsidRPr="002D2D66" w:rsidDel="00614937" w:rsidRDefault="002D2D66" w:rsidP="002D2D66">
      <w:pPr>
        <w:pStyle w:val="ListParagraph"/>
        <w:numPr>
          <w:ilvl w:val="0"/>
          <w:numId w:val="27"/>
        </w:numPr>
        <w:jc w:val="both"/>
        <w:rPr>
          <w:rFonts w:asciiTheme="minorHAnsi" w:hAnsiTheme="minorHAnsi"/>
        </w:rPr>
      </w:pPr>
      <w:r w:rsidRPr="002D2D66" w:rsidDel="00614937">
        <w:rPr>
          <w:rFonts w:asciiTheme="minorHAnsi" w:hAnsiTheme="minorHAnsi"/>
        </w:rPr>
        <w:t>Infrastructure at site.</w:t>
      </w:r>
    </w:p>
    <w:p w:rsidR="002D2D66" w:rsidRPr="002D2D66" w:rsidDel="00614937" w:rsidRDefault="002D2D66" w:rsidP="002D2D66">
      <w:pPr>
        <w:pStyle w:val="ListParagraph"/>
        <w:numPr>
          <w:ilvl w:val="0"/>
          <w:numId w:val="27"/>
        </w:numPr>
        <w:jc w:val="both"/>
        <w:rPr>
          <w:rFonts w:asciiTheme="minorHAnsi" w:hAnsiTheme="minorHAnsi"/>
        </w:rPr>
      </w:pPr>
      <w:r w:rsidRPr="002D2D66" w:rsidDel="00614937">
        <w:rPr>
          <w:rFonts w:asciiTheme="minorHAnsi" w:hAnsiTheme="minorHAnsi"/>
        </w:rPr>
        <w:t xml:space="preserve">Legacy </w:t>
      </w:r>
      <w:proofErr w:type="gramStart"/>
      <w:r w:rsidRPr="002D2D66" w:rsidDel="00614937">
        <w:rPr>
          <w:rFonts w:asciiTheme="minorHAnsi" w:hAnsiTheme="minorHAnsi"/>
        </w:rPr>
        <w:t>receivers</w:t>
      </w:r>
      <w:proofErr w:type="gramEnd"/>
      <w:r w:rsidRPr="002D2D66" w:rsidDel="00614937">
        <w:rPr>
          <w:rFonts w:asciiTheme="minorHAnsi" w:hAnsiTheme="minorHAnsi"/>
        </w:rPr>
        <w:t xml:space="preserve"> compatibility.</w:t>
      </w:r>
    </w:p>
    <w:p w:rsidR="002D2D66" w:rsidRPr="002D2D66" w:rsidDel="00614937" w:rsidRDefault="002D2D66" w:rsidP="002D2D66">
      <w:pPr>
        <w:pStyle w:val="ListParagraph"/>
        <w:numPr>
          <w:ilvl w:val="0"/>
          <w:numId w:val="27"/>
        </w:numPr>
        <w:jc w:val="both"/>
        <w:rPr>
          <w:rFonts w:asciiTheme="minorHAnsi" w:hAnsiTheme="minorHAnsi"/>
        </w:rPr>
      </w:pPr>
      <w:r w:rsidRPr="002D2D66" w:rsidDel="00614937">
        <w:rPr>
          <w:rFonts w:asciiTheme="minorHAnsi" w:hAnsiTheme="minorHAnsi"/>
        </w:rPr>
        <w:t>Integrity monitoring.</w:t>
      </w:r>
    </w:p>
    <w:p w:rsidR="002D2D66" w:rsidRPr="002D2D66" w:rsidDel="00614937" w:rsidRDefault="002D2D66" w:rsidP="002D2D66">
      <w:pPr>
        <w:pStyle w:val="ListParagraph"/>
        <w:numPr>
          <w:ilvl w:val="0"/>
          <w:numId w:val="27"/>
        </w:numPr>
        <w:jc w:val="both"/>
        <w:rPr>
          <w:rFonts w:asciiTheme="minorHAnsi" w:hAnsiTheme="minorHAnsi"/>
        </w:rPr>
      </w:pPr>
      <w:r w:rsidRPr="002D2D66" w:rsidDel="00614937">
        <w:rPr>
          <w:rFonts w:asciiTheme="minorHAnsi" w:hAnsiTheme="minorHAnsi"/>
        </w:rPr>
        <w:t>Local effects impact corrections.</w:t>
      </w:r>
    </w:p>
    <w:p w:rsidR="002D2D66" w:rsidRPr="002D2D66" w:rsidDel="00614937" w:rsidRDefault="002D2D66" w:rsidP="002D2D66">
      <w:pPr>
        <w:pStyle w:val="ListParagraph"/>
        <w:numPr>
          <w:ilvl w:val="0"/>
          <w:numId w:val="27"/>
        </w:numPr>
        <w:jc w:val="both"/>
        <w:rPr>
          <w:rFonts w:asciiTheme="minorHAnsi" w:hAnsiTheme="minorHAnsi"/>
        </w:rPr>
      </w:pPr>
      <w:r w:rsidRPr="002D2D66" w:rsidDel="00614937">
        <w:rPr>
          <w:rFonts w:asciiTheme="minorHAnsi" w:hAnsiTheme="minorHAnsi"/>
        </w:rPr>
        <w:t>Independence of corrections generation vs integrity check.</w:t>
      </w:r>
    </w:p>
    <w:p w:rsidR="002D2D66" w:rsidRPr="002D2D66" w:rsidDel="00614937" w:rsidRDefault="002D2D66" w:rsidP="002D2D66">
      <w:pPr>
        <w:pStyle w:val="ListParagraph"/>
        <w:numPr>
          <w:ilvl w:val="0"/>
          <w:numId w:val="27"/>
        </w:numPr>
        <w:jc w:val="both"/>
        <w:rPr>
          <w:rFonts w:asciiTheme="minorHAnsi" w:hAnsiTheme="minorHAnsi"/>
        </w:rPr>
      </w:pPr>
      <w:r w:rsidRPr="002D2D66" w:rsidDel="00614937">
        <w:rPr>
          <w:rFonts w:asciiTheme="minorHAnsi" w:hAnsiTheme="minorHAnsi"/>
        </w:rPr>
        <w:t>Communication lines.</w:t>
      </w:r>
    </w:p>
    <w:p w:rsidR="002D2D66" w:rsidRPr="002D2D66" w:rsidDel="00614937" w:rsidRDefault="002D2D66" w:rsidP="002D2D66">
      <w:pPr>
        <w:pStyle w:val="ListParagraph"/>
        <w:numPr>
          <w:ilvl w:val="0"/>
          <w:numId w:val="27"/>
        </w:numPr>
        <w:jc w:val="both"/>
        <w:rPr>
          <w:rFonts w:asciiTheme="minorHAnsi" w:hAnsiTheme="minorHAnsi"/>
        </w:rPr>
      </w:pPr>
      <w:r w:rsidRPr="002D2D66" w:rsidDel="00614937">
        <w:rPr>
          <w:rFonts w:asciiTheme="minorHAnsi" w:hAnsiTheme="minorHAnsi"/>
        </w:rPr>
        <w:t>MF link monitoring.</w:t>
      </w:r>
    </w:p>
    <w:p w:rsidR="002D2D66" w:rsidRPr="002D2D66" w:rsidDel="00614937" w:rsidRDefault="002D2D66" w:rsidP="002D2D66">
      <w:pPr>
        <w:pStyle w:val="ListParagraph"/>
        <w:numPr>
          <w:ilvl w:val="0"/>
          <w:numId w:val="27"/>
        </w:numPr>
        <w:jc w:val="both"/>
        <w:rPr>
          <w:rFonts w:asciiTheme="minorHAnsi" w:hAnsiTheme="minorHAnsi"/>
        </w:rPr>
      </w:pPr>
      <w:r w:rsidRPr="002D2D66" w:rsidDel="00614937">
        <w:rPr>
          <w:rFonts w:asciiTheme="minorHAnsi" w:hAnsiTheme="minorHAnsi"/>
        </w:rPr>
        <w:t>Redundancy.</w:t>
      </w:r>
    </w:p>
    <w:p w:rsidR="002D2D66" w:rsidRPr="002D2D66" w:rsidDel="00614937" w:rsidRDefault="002D2D66" w:rsidP="002D2D66">
      <w:pPr>
        <w:pStyle w:val="ListParagraph"/>
        <w:numPr>
          <w:ilvl w:val="0"/>
          <w:numId w:val="27"/>
        </w:numPr>
        <w:jc w:val="both"/>
        <w:rPr>
          <w:rFonts w:asciiTheme="minorHAnsi" w:hAnsiTheme="minorHAnsi"/>
        </w:rPr>
      </w:pPr>
      <w:r w:rsidRPr="002D2D66" w:rsidDel="00614937">
        <w:rPr>
          <w:rFonts w:asciiTheme="minorHAnsi" w:hAnsiTheme="minorHAnsi"/>
        </w:rPr>
        <w:t>Jamming and Spoofing Resiliency.</w:t>
      </w:r>
    </w:p>
    <w:p w:rsidR="002D2D66" w:rsidRPr="002D2D66" w:rsidDel="00614937" w:rsidRDefault="002D2D66" w:rsidP="002D2D66">
      <w:pPr>
        <w:pStyle w:val="ListParagraph"/>
        <w:numPr>
          <w:ilvl w:val="0"/>
          <w:numId w:val="27"/>
        </w:numPr>
        <w:jc w:val="both"/>
        <w:rPr>
          <w:rFonts w:asciiTheme="minorHAnsi" w:hAnsiTheme="minorHAnsi"/>
        </w:rPr>
      </w:pPr>
      <w:r w:rsidRPr="002D2D66" w:rsidDel="00614937">
        <w:rPr>
          <w:rFonts w:asciiTheme="minorHAnsi" w:hAnsiTheme="minorHAnsi"/>
        </w:rPr>
        <w:t>Corrections generation separated from the transmission technology.</w:t>
      </w:r>
    </w:p>
    <w:p w:rsidR="002D2D66" w:rsidRDefault="002D2D66" w:rsidP="00BA25D5">
      <w:pPr>
        <w:pStyle w:val="BodyText"/>
      </w:pPr>
    </w:p>
    <w:p w:rsidR="00EA3754" w:rsidRPr="00EA3754" w:rsidRDefault="00EA3754" w:rsidP="004A557A">
      <w:pPr>
        <w:jc w:val="both"/>
        <w:rPr>
          <w:rFonts w:asciiTheme="minorHAnsi" w:hAnsiTheme="minorHAnsi"/>
        </w:rPr>
      </w:pPr>
      <w:r w:rsidRPr="00EA3754">
        <w:rPr>
          <w:rFonts w:asciiTheme="minorHAnsi" w:hAnsiTheme="minorHAnsi"/>
        </w:rPr>
        <w:t>Among the criteria</w:t>
      </w:r>
      <w:r>
        <w:rPr>
          <w:rFonts w:asciiTheme="minorHAnsi" w:hAnsiTheme="minorHAnsi"/>
        </w:rPr>
        <w:t xml:space="preserve"> listed above</w:t>
      </w:r>
      <w:r w:rsidRPr="00EA3754">
        <w:rPr>
          <w:rFonts w:asciiTheme="minorHAnsi" w:hAnsiTheme="minorHAnsi"/>
        </w:rPr>
        <w:t xml:space="preserve">, the following are considered to be mandatory or highly recommended for an EGNOS based architecture to be </w:t>
      </w:r>
      <w:r>
        <w:rPr>
          <w:rFonts w:asciiTheme="minorHAnsi" w:hAnsiTheme="minorHAnsi"/>
        </w:rPr>
        <w:t>implemented</w:t>
      </w:r>
      <w:r w:rsidR="00344644">
        <w:rPr>
          <w:rFonts w:asciiTheme="minorHAnsi" w:hAnsiTheme="minorHAnsi"/>
        </w:rPr>
        <w:t xml:space="preserve"> as</w:t>
      </w:r>
      <w:r w:rsidRPr="00EA3754">
        <w:rPr>
          <w:rFonts w:asciiTheme="minorHAnsi" w:hAnsiTheme="minorHAnsi"/>
        </w:rPr>
        <w:t xml:space="preserve"> an alternative to the current </w:t>
      </w:r>
      <w:r>
        <w:rPr>
          <w:rFonts w:asciiTheme="minorHAnsi" w:hAnsiTheme="minorHAnsi"/>
        </w:rPr>
        <w:t>DGNSS solutions</w:t>
      </w:r>
      <w:r w:rsidRPr="00EA3754">
        <w:rPr>
          <w:rFonts w:asciiTheme="minorHAnsi" w:hAnsiTheme="minorHAnsi"/>
        </w:rPr>
        <w:t>:</w:t>
      </w:r>
    </w:p>
    <w:p w:rsidR="00EA3754" w:rsidRPr="00EA3754" w:rsidRDefault="00EA3754" w:rsidP="00EA3754">
      <w:pPr>
        <w:pStyle w:val="ListParagraph"/>
        <w:numPr>
          <w:ilvl w:val="0"/>
          <w:numId w:val="27"/>
        </w:numPr>
        <w:jc w:val="both"/>
        <w:rPr>
          <w:rFonts w:asciiTheme="minorHAnsi" w:hAnsiTheme="minorHAnsi"/>
        </w:rPr>
      </w:pPr>
      <w:r w:rsidRPr="00EA3754">
        <w:rPr>
          <w:rFonts w:asciiTheme="minorHAnsi" w:hAnsiTheme="minorHAnsi"/>
        </w:rPr>
        <w:t>The “Legacy receivers compatibility” (LEG) and “Integrity Monitoring” (IM) functionalities.</w:t>
      </w:r>
    </w:p>
    <w:p w:rsidR="00EA3754" w:rsidRPr="00EA3754" w:rsidRDefault="00EA3754" w:rsidP="00EA3754">
      <w:pPr>
        <w:pStyle w:val="ListParagraph"/>
        <w:numPr>
          <w:ilvl w:val="0"/>
          <w:numId w:val="27"/>
        </w:numPr>
        <w:jc w:val="both"/>
        <w:rPr>
          <w:rFonts w:asciiTheme="minorHAnsi" w:hAnsiTheme="minorHAnsi"/>
        </w:rPr>
      </w:pPr>
      <w:r w:rsidRPr="00EA3754">
        <w:rPr>
          <w:rFonts w:asciiTheme="minorHAnsi" w:hAnsiTheme="minorHAnsi"/>
        </w:rPr>
        <w:t>IALA/IMO recommendations:</w:t>
      </w:r>
    </w:p>
    <w:p w:rsidR="00EA3754" w:rsidRPr="00EA3754" w:rsidRDefault="00EA3754" w:rsidP="00EA3754">
      <w:pPr>
        <w:pStyle w:val="ListParagraph"/>
        <w:numPr>
          <w:ilvl w:val="1"/>
          <w:numId w:val="27"/>
        </w:numPr>
        <w:jc w:val="both"/>
        <w:rPr>
          <w:rFonts w:asciiTheme="minorHAnsi" w:hAnsiTheme="minorHAnsi"/>
        </w:rPr>
      </w:pPr>
      <w:r w:rsidRPr="00EA3754">
        <w:rPr>
          <w:rFonts w:asciiTheme="minorHAnsi" w:hAnsiTheme="minorHAnsi"/>
        </w:rPr>
        <w:t>Independence of corrections generation  vs integrity check</w:t>
      </w:r>
    </w:p>
    <w:p w:rsidR="00EA3754" w:rsidRPr="00EA3754" w:rsidRDefault="00EA3754" w:rsidP="00EA3754">
      <w:pPr>
        <w:pStyle w:val="ListParagraph"/>
        <w:numPr>
          <w:ilvl w:val="1"/>
          <w:numId w:val="27"/>
        </w:numPr>
        <w:jc w:val="both"/>
        <w:rPr>
          <w:rFonts w:asciiTheme="minorHAnsi" w:hAnsiTheme="minorHAnsi"/>
        </w:rPr>
      </w:pPr>
      <w:r w:rsidRPr="00EA3754">
        <w:rPr>
          <w:rFonts w:asciiTheme="minorHAnsi" w:hAnsiTheme="minorHAnsi"/>
        </w:rPr>
        <w:t>MF link monitoring</w:t>
      </w:r>
    </w:p>
    <w:p w:rsidR="00EA3754" w:rsidRPr="00EA3754" w:rsidRDefault="00EA3754" w:rsidP="00EA3754">
      <w:pPr>
        <w:pStyle w:val="ListParagraph"/>
        <w:numPr>
          <w:ilvl w:val="1"/>
          <w:numId w:val="27"/>
        </w:numPr>
        <w:jc w:val="both"/>
        <w:rPr>
          <w:rFonts w:asciiTheme="minorHAnsi" w:hAnsiTheme="minorHAnsi"/>
        </w:rPr>
      </w:pPr>
      <w:r w:rsidRPr="00EA3754">
        <w:rPr>
          <w:rFonts w:asciiTheme="minorHAnsi" w:hAnsiTheme="minorHAnsi"/>
        </w:rPr>
        <w:t>Corrections generation separated from the transmission technology</w:t>
      </w:r>
    </w:p>
    <w:p w:rsidR="00EA3754" w:rsidRPr="00BC3E04" w:rsidRDefault="00BC3E04" w:rsidP="00BC3E04">
      <w:pPr>
        <w:pStyle w:val="ListParagraph"/>
        <w:numPr>
          <w:ilvl w:val="0"/>
          <w:numId w:val="27"/>
        </w:numPr>
        <w:jc w:val="both"/>
        <w:rPr>
          <w:rFonts w:asciiTheme="minorHAnsi" w:hAnsiTheme="minorHAnsi"/>
        </w:rPr>
      </w:pPr>
      <w:r>
        <w:rPr>
          <w:rFonts w:asciiTheme="minorHAnsi" w:hAnsiTheme="minorHAnsi"/>
        </w:rPr>
        <w:t>R</w:t>
      </w:r>
      <w:r w:rsidR="00EA3754" w:rsidRPr="00EA3754">
        <w:rPr>
          <w:rFonts w:asciiTheme="minorHAnsi" w:hAnsiTheme="minorHAnsi"/>
        </w:rPr>
        <w:t>edundant solutions</w:t>
      </w:r>
      <w:r>
        <w:rPr>
          <w:rFonts w:asciiTheme="minorHAnsi" w:hAnsiTheme="minorHAnsi"/>
        </w:rPr>
        <w:t xml:space="preserve"> to meet 99</w:t>
      </w:r>
      <w:r w:rsidR="005A65F2">
        <w:rPr>
          <w:rFonts w:asciiTheme="minorHAnsi" w:hAnsiTheme="minorHAnsi"/>
        </w:rPr>
        <w:t>.</w:t>
      </w:r>
      <w:r>
        <w:rPr>
          <w:rFonts w:asciiTheme="minorHAnsi" w:hAnsiTheme="minorHAnsi"/>
        </w:rPr>
        <w:t>8% availability requirement</w:t>
      </w:r>
      <w:r w:rsidR="00EA3754" w:rsidRPr="00EA3754">
        <w:rPr>
          <w:rFonts w:asciiTheme="minorHAnsi" w:hAnsiTheme="minorHAnsi"/>
        </w:rPr>
        <w:t>.</w:t>
      </w:r>
    </w:p>
    <w:p w:rsidR="002D2D66" w:rsidRDefault="002D2D66" w:rsidP="00BA25D5">
      <w:pPr>
        <w:pStyle w:val="BodyText"/>
      </w:pPr>
    </w:p>
    <w:p w:rsidR="00EA3754" w:rsidRDefault="00EA3754" w:rsidP="00EA3754">
      <w:pPr>
        <w:jc w:val="both"/>
        <w:rPr>
          <w:rFonts w:asciiTheme="minorHAnsi" w:hAnsiTheme="minorHAnsi"/>
        </w:rPr>
      </w:pPr>
      <w:r w:rsidRPr="00EA3754">
        <w:rPr>
          <w:rFonts w:asciiTheme="minorHAnsi" w:hAnsiTheme="minorHAnsi"/>
        </w:rPr>
        <w:lastRenderedPageBreak/>
        <w:t xml:space="preserve">Taking this into account, among the </w:t>
      </w:r>
      <w:r>
        <w:rPr>
          <w:rFonts w:asciiTheme="minorHAnsi" w:hAnsiTheme="minorHAnsi"/>
        </w:rPr>
        <w:t>solutions analysed</w:t>
      </w:r>
      <w:r w:rsidRPr="00EA3754">
        <w:rPr>
          <w:rFonts w:asciiTheme="minorHAnsi" w:hAnsiTheme="minorHAnsi"/>
        </w:rPr>
        <w:t xml:space="preserve">, the ones </w:t>
      </w:r>
      <w:r>
        <w:rPr>
          <w:rFonts w:asciiTheme="minorHAnsi" w:hAnsiTheme="minorHAnsi"/>
        </w:rPr>
        <w:t>meeting</w:t>
      </w:r>
      <w:r w:rsidRPr="00EA3754">
        <w:rPr>
          <w:rFonts w:asciiTheme="minorHAnsi" w:hAnsiTheme="minorHAnsi"/>
        </w:rPr>
        <w:t xml:space="preserve"> the mandatory features and recommendations mentioned above are:</w:t>
      </w:r>
    </w:p>
    <w:p w:rsidR="00EA3754" w:rsidRPr="00EA3754" w:rsidRDefault="00EA3754" w:rsidP="00EA3754">
      <w:pPr>
        <w:pStyle w:val="ListParagraph"/>
        <w:numPr>
          <w:ilvl w:val="0"/>
          <w:numId w:val="28"/>
        </w:numPr>
        <w:jc w:val="both"/>
        <w:rPr>
          <w:rFonts w:asciiTheme="minorHAnsi" w:hAnsiTheme="minorHAnsi"/>
        </w:rPr>
      </w:pPr>
      <w:r w:rsidRPr="00EA3754">
        <w:rPr>
          <w:rFonts w:asciiTheme="minorHAnsi" w:hAnsiTheme="minorHAnsi"/>
        </w:rPr>
        <w:t xml:space="preserve">Hybrid Decentralised Architecture: Traditional DGNSS + </w:t>
      </w:r>
      <w:proofErr w:type="spellStart"/>
      <w:r w:rsidRPr="00EA3754">
        <w:rPr>
          <w:rFonts w:asciiTheme="minorHAnsi" w:hAnsiTheme="minorHAnsi"/>
        </w:rPr>
        <w:t>SISNeT</w:t>
      </w:r>
      <w:proofErr w:type="spellEnd"/>
      <w:r w:rsidRPr="00EA3754">
        <w:rPr>
          <w:rFonts w:asciiTheme="minorHAnsi" w:hAnsiTheme="minorHAnsi"/>
        </w:rPr>
        <w:t xml:space="preserve"> Based (</w:t>
      </w:r>
      <w:r w:rsidR="00344644">
        <w:rPr>
          <w:rFonts w:asciiTheme="minorHAnsi" w:hAnsiTheme="minorHAnsi"/>
        </w:rPr>
        <w:t xml:space="preserve">see section </w:t>
      </w:r>
      <w:r w:rsidR="00344644">
        <w:rPr>
          <w:rFonts w:asciiTheme="minorHAnsi" w:hAnsiTheme="minorHAnsi"/>
        </w:rPr>
        <w:fldChar w:fldCharType="begin"/>
      </w:r>
      <w:r w:rsidR="00344644">
        <w:rPr>
          <w:rFonts w:asciiTheme="minorHAnsi" w:hAnsiTheme="minorHAnsi"/>
        </w:rPr>
        <w:instrText xml:space="preserve"> REF _Ref456193055 \r \h </w:instrText>
      </w:r>
      <w:r w:rsidR="00344644">
        <w:rPr>
          <w:rFonts w:asciiTheme="minorHAnsi" w:hAnsiTheme="minorHAnsi"/>
        </w:rPr>
      </w:r>
      <w:r w:rsidR="00344644">
        <w:rPr>
          <w:rFonts w:asciiTheme="minorHAnsi" w:hAnsiTheme="minorHAnsi"/>
        </w:rPr>
        <w:fldChar w:fldCharType="separate"/>
      </w:r>
      <w:r w:rsidR="00E15EEB">
        <w:rPr>
          <w:rFonts w:asciiTheme="minorHAnsi" w:hAnsiTheme="minorHAnsi"/>
        </w:rPr>
        <w:t>1.2</w:t>
      </w:r>
      <w:r w:rsidR="00344644">
        <w:rPr>
          <w:rFonts w:asciiTheme="minorHAnsi" w:hAnsiTheme="minorHAnsi"/>
        </w:rPr>
        <w:fldChar w:fldCharType="end"/>
      </w:r>
      <w:r w:rsidRPr="00EA3754">
        <w:rPr>
          <w:rFonts w:asciiTheme="minorHAnsi" w:hAnsiTheme="minorHAnsi"/>
        </w:rPr>
        <w:t>)</w:t>
      </w:r>
    </w:p>
    <w:p w:rsidR="00EA3754" w:rsidRPr="00EA3754" w:rsidRDefault="00EA3754" w:rsidP="00EA3754">
      <w:pPr>
        <w:pStyle w:val="ListParagraph"/>
        <w:numPr>
          <w:ilvl w:val="0"/>
          <w:numId w:val="28"/>
        </w:numPr>
        <w:jc w:val="both"/>
        <w:rPr>
          <w:rFonts w:asciiTheme="minorHAnsi" w:hAnsiTheme="minorHAnsi"/>
        </w:rPr>
      </w:pPr>
      <w:r w:rsidRPr="00EA3754">
        <w:rPr>
          <w:rFonts w:asciiTheme="minorHAnsi" w:hAnsiTheme="minorHAnsi"/>
        </w:rPr>
        <w:t>Hybrid Centralised Architecture: Traditiona</w:t>
      </w:r>
      <w:r w:rsidR="00344644">
        <w:rPr>
          <w:rFonts w:asciiTheme="minorHAnsi" w:hAnsiTheme="minorHAnsi"/>
        </w:rPr>
        <w:t>l DGNSS + EGNOS Based VRS (see</w:t>
      </w:r>
      <w:r w:rsidR="00344644" w:rsidRPr="00344644">
        <w:rPr>
          <w:rFonts w:asciiTheme="minorHAnsi" w:hAnsiTheme="minorHAnsi"/>
        </w:rPr>
        <w:t xml:space="preserve"> </w:t>
      </w:r>
      <w:r w:rsidR="00344644">
        <w:rPr>
          <w:rFonts w:asciiTheme="minorHAnsi" w:hAnsiTheme="minorHAnsi"/>
        </w:rPr>
        <w:t xml:space="preserve">section </w:t>
      </w:r>
      <w:r w:rsidR="00344644">
        <w:rPr>
          <w:rFonts w:asciiTheme="minorHAnsi" w:hAnsiTheme="minorHAnsi"/>
        </w:rPr>
        <w:fldChar w:fldCharType="begin"/>
      </w:r>
      <w:r w:rsidR="00344644">
        <w:rPr>
          <w:rFonts w:asciiTheme="minorHAnsi" w:hAnsiTheme="minorHAnsi"/>
        </w:rPr>
        <w:instrText xml:space="preserve"> REF _Ref456193062 \r \h </w:instrText>
      </w:r>
      <w:r w:rsidR="00344644">
        <w:rPr>
          <w:rFonts w:asciiTheme="minorHAnsi" w:hAnsiTheme="minorHAnsi"/>
        </w:rPr>
      </w:r>
      <w:r w:rsidR="00344644">
        <w:rPr>
          <w:rFonts w:asciiTheme="minorHAnsi" w:hAnsiTheme="minorHAnsi"/>
        </w:rPr>
        <w:fldChar w:fldCharType="separate"/>
      </w:r>
      <w:r w:rsidR="00E15EEB">
        <w:rPr>
          <w:rFonts w:asciiTheme="minorHAnsi" w:hAnsiTheme="minorHAnsi"/>
        </w:rPr>
        <w:t>1.3</w:t>
      </w:r>
      <w:r w:rsidR="00344644">
        <w:rPr>
          <w:rFonts w:asciiTheme="minorHAnsi" w:hAnsiTheme="minorHAnsi"/>
        </w:rPr>
        <w:fldChar w:fldCharType="end"/>
      </w:r>
      <w:r w:rsidRPr="00EA3754">
        <w:rPr>
          <w:rFonts w:asciiTheme="minorHAnsi" w:hAnsiTheme="minorHAnsi"/>
        </w:rPr>
        <w:t>)</w:t>
      </w:r>
    </w:p>
    <w:p w:rsidR="00EA3754" w:rsidRPr="00EA3754" w:rsidRDefault="00EA3754" w:rsidP="00EA3754">
      <w:pPr>
        <w:pStyle w:val="ListParagraph"/>
        <w:numPr>
          <w:ilvl w:val="0"/>
          <w:numId w:val="28"/>
        </w:numPr>
        <w:jc w:val="both"/>
        <w:rPr>
          <w:rFonts w:asciiTheme="minorHAnsi" w:hAnsiTheme="minorHAnsi"/>
        </w:rPr>
      </w:pPr>
      <w:r w:rsidRPr="00EA3754">
        <w:rPr>
          <w:rFonts w:asciiTheme="minorHAnsi" w:hAnsiTheme="minorHAnsi"/>
        </w:rPr>
        <w:t>Redundant Fully EGNOS Based Solution (</w:t>
      </w:r>
      <w:r w:rsidR="00344644">
        <w:rPr>
          <w:rFonts w:asciiTheme="minorHAnsi" w:hAnsiTheme="minorHAnsi"/>
        </w:rPr>
        <w:t xml:space="preserve">see section </w:t>
      </w:r>
      <w:r w:rsidR="00344644">
        <w:rPr>
          <w:rFonts w:asciiTheme="minorHAnsi" w:hAnsiTheme="minorHAnsi"/>
        </w:rPr>
        <w:fldChar w:fldCharType="begin"/>
      </w:r>
      <w:r w:rsidR="00344644">
        <w:rPr>
          <w:rFonts w:asciiTheme="minorHAnsi" w:hAnsiTheme="minorHAnsi"/>
        </w:rPr>
        <w:instrText xml:space="preserve"> REF _Ref456193068 \r \h </w:instrText>
      </w:r>
      <w:r w:rsidR="00344644">
        <w:rPr>
          <w:rFonts w:asciiTheme="minorHAnsi" w:hAnsiTheme="minorHAnsi"/>
        </w:rPr>
      </w:r>
      <w:r w:rsidR="00344644">
        <w:rPr>
          <w:rFonts w:asciiTheme="minorHAnsi" w:hAnsiTheme="minorHAnsi"/>
        </w:rPr>
        <w:fldChar w:fldCharType="separate"/>
      </w:r>
      <w:r w:rsidR="00E15EEB">
        <w:rPr>
          <w:rFonts w:asciiTheme="minorHAnsi" w:hAnsiTheme="minorHAnsi"/>
        </w:rPr>
        <w:t>1.4</w:t>
      </w:r>
      <w:r w:rsidR="00344644">
        <w:rPr>
          <w:rFonts w:asciiTheme="minorHAnsi" w:hAnsiTheme="minorHAnsi"/>
        </w:rPr>
        <w:fldChar w:fldCharType="end"/>
      </w:r>
      <w:r w:rsidRPr="00EA3754">
        <w:rPr>
          <w:rFonts w:asciiTheme="minorHAnsi" w:hAnsiTheme="minorHAnsi"/>
        </w:rPr>
        <w:t>)</w:t>
      </w:r>
    </w:p>
    <w:p w:rsidR="00EA3754" w:rsidRDefault="00EA3754" w:rsidP="00EA3754">
      <w:pPr>
        <w:jc w:val="both"/>
        <w:rPr>
          <w:rFonts w:asciiTheme="minorHAnsi" w:hAnsiTheme="minorHAnsi"/>
        </w:rPr>
      </w:pPr>
    </w:p>
    <w:p w:rsidR="00EA3754" w:rsidRPr="00CA35CB" w:rsidRDefault="00EA3754" w:rsidP="00EA3754">
      <w:pPr>
        <w:pStyle w:val="BodyText"/>
      </w:pPr>
      <w:r w:rsidRPr="00CA35CB">
        <w:t>The particular details of these three architectures are described in the sections below.</w:t>
      </w:r>
    </w:p>
    <w:p w:rsidR="00EA3754" w:rsidRPr="00EA3754" w:rsidRDefault="00EA3754" w:rsidP="00EA3754">
      <w:pPr>
        <w:jc w:val="both"/>
        <w:rPr>
          <w:rFonts w:asciiTheme="minorHAnsi" w:hAnsiTheme="minorHAnsi"/>
        </w:rPr>
      </w:pPr>
      <w:r w:rsidRPr="00EA3754">
        <w:rPr>
          <w:rFonts w:asciiTheme="minorHAnsi" w:hAnsiTheme="minorHAnsi"/>
        </w:rPr>
        <w:t>In any case, it should be noted that the assessment of the most convenient architecture for each particular scenario shall be based on a case by case analysis. This analysis shall take into account the topology of the existing IALA DGNSS infrastructure (if any) - network or classic approach, the availability of communication lines connecting the different elements comprising the current architecture or the type of GNSS receivers available (EGNOS enabled or not), among other technical aspects and also any relevant operational/service requirement provided by the target maritime authority.</w:t>
      </w:r>
    </w:p>
    <w:p w:rsidR="00BA25D5" w:rsidRPr="008342DD" w:rsidRDefault="00BA25D5" w:rsidP="00A37C89">
      <w:pPr>
        <w:pStyle w:val="AnnexHeading1"/>
        <w:numPr>
          <w:ilvl w:val="1"/>
          <w:numId w:val="17"/>
        </w:numPr>
      </w:pPr>
      <w:bookmarkStart w:id="10" w:name="_Ref456610364"/>
      <w:r w:rsidRPr="008342DD">
        <w:t>Baseline IALA DGNSS service architecture</w:t>
      </w:r>
      <w:bookmarkEnd w:id="10"/>
    </w:p>
    <w:p w:rsidR="007E1E85" w:rsidRPr="007E1E85" w:rsidRDefault="00BA25D5" w:rsidP="007E1E85">
      <w:pPr>
        <w:pStyle w:val="BodyText"/>
      </w:pPr>
      <w:r w:rsidRPr="007E1E85">
        <w:t>For a better understanding of the added value of the solutions analysed and its potential drawbacks/limitations, a comparison with respect to a</w:t>
      </w:r>
      <w:r w:rsidR="007E1E85" w:rsidRPr="007E1E85">
        <w:t xml:space="preserve"> traditional </w:t>
      </w:r>
      <w:r w:rsidRPr="007E1E85">
        <w:t>baseline architecture has been performed. This baseline architecture has been defined as a DGNSS service based on the classic approach</w:t>
      </w:r>
      <w:r w:rsidR="00B85275">
        <w:t xml:space="preserve"> </w:t>
      </w:r>
      <w:r w:rsidR="00B85275">
        <w:fldChar w:fldCharType="begin"/>
      </w:r>
      <w:r w:rsidR="00B85275">
        <w:instrText xml:space="preserve"> REF _Ref456088252 \r \h </w:instrText>
      </w:r>
      <w:r w:rsidR="00B85275">
        <w:fldChar w:fldCharType="separate"/>
      </w:r>
      <w:r w:rsidR="00E15EEB">
        <w:t>[6]</w:t>
      </w:r>
      <w:r w:rsidR="00B85275">
        <w:fldChar w:fldCharType="end"/>
      </w:r>
      <w:r w:rsidRPr="007E1E85">
        <w:t xml:space="preserve">, </w:t>
      </w:r>
      <w:r w:rsidR="007E1E85" w:rsidRPr="007E1E85">
        <w:t xml:space="preserve">the </w:t>
      </w:r>
      <w:r w:rsidR="00B15BFA" w:rsidRPr="007E1E85">
        <w:t>IALA recommended architecture of an IALA DGNSS station, including the Reference Station (RS) and the Integrity Monitoring (IM) modules.</w:t>
      </w:r>
      <w:r w:rsidR="007E1E85" w:rsidRPr="007E1E85">
        <w:t xml:space="preserve"> This baseline has been selected under the understanding that it is the typical (or one of the most common) set-up used today to provide an IALA DGNSS service.</w:t>
      </w:r>
    </w:p>
    <w:p w:rsidR="00B15BFA" w:rsidRPr="007E1E85" w:rsidRDefault="00B15BFA" w:rsidP="007E1E85">
      <w:pPr>
        <w:pStyle w:val="Bullet1"/>
        <w:rPr>
          <w:rFonts w:ascii="Calibri" w:hAnsi="Calibri"/>
        </w:rPr>
      </w:pPr>
      <w:r w:rsidRPr="007E1E85">
        <w:rPr>
          <w:rFonts w:ascii="Calibri" w:hAnsi="Calibri"/>
        </w:rPr>
        <w:t>As depicted in</w:t>
      </w:r>
      <w:r w:rsidR="007E1E85">
        <w:rPr>
          <w:rFonts w:ascii="Calibri" w:hAnsi="Calibri"/>
        </w:rPr>
        <w:t xml:space="preserve"> </w:t>
      </w:r>
      <w:r w:rsidR="00EC0EA3">
        <w:rPr>
          <w:rFonts w:ascii="Calibri" w:hAnsi="Calibri"/>
        </w:rPr>
        <w:fldChar w:fldCharType="begin"/>
      </w:r>
      <w:r w:rsidR="00EC0EA3">
        <w:rPr>
          <w:rFonts w:ascii="Calibri" w:hAnsi="Calibri"/>
        </w:rPr>
        <w:instrText xml:space="preserve"> REF _Ref456610703 \r \h </w:instrText>
      </w:r>
      <w:r w:rsidR="00EC0EA3">
        <w:rPr>
          <w:rFonts w:ascii="Calibri" w:hAnsi="Calibri"/>
        </w:rPr>
      </w:r>
      <w:r w:rsidR="00EC0EA3">
        <w:rPr>
          <w:rFonts w:ascii="Calibri" w:hAnsi="Calibri"/>
        </w:rPr>
        <w:fldChar w:fldCharType="separate"/>
      </w:r>
      <w:r w:rsidR="00E15EEB">
        <w:rPr>
          <w:rFonts w:ascii="Calibri" w:hAnsi="Calibri"/>
        </w:rPr>
        <w:t>Figure 1</w:t>
      </w:r>
      <w:r w:rsidR="00EC0EA3">
        <w:rPr>
          <w:rFonts w:ascii="Calibri" w:hAnsi="Calibri"/>
        </w:rPr>
        <w:fldChar w:fldCharType="end"/>
      </w:r>
      <w:r w:rsidRPr="007E1E85">
        <w:rPr>
          <w:rFonts w:ascii="Calibri" w:hAnsi="Calibri"/>
        </w:rPr>
        <w:t xml:space="preserve">, the Reference Station component computes the </w:t>
      </w:r>
      <w:proofErr w:type="spellStart"/>
      <w:r w:rsidRPr="007E1E85">
        <w:rPr>
          <w:rFonts w:ascii="Calibri" w:hAnsi="Calibri"/>
        </w:rPr>
        <w:t>psedurorange</w:t>
      </w:r>
      <w:proofErr w:type="spellEnd"/>
      <w:r w:rsidRPr="007E1E85">
        <w:rPr>
          <w:rFonts w:ascii="Calibri" w:hAnsi="Calibri"/>
        </w:rPr>
        <w:t xml:space="preserve"> corrections based on the GNSS raw data (observations and ephemeris) collected by a GNSS receiver (including the GNSS antenna) and the surveyed position of the station. These corrections are then encoded in RTCM format and MSK modulated, to be transmitted to the users in the LF/MF band (285 - 325 kHz).</w:t>
      </w:r>
    </w:p>
    <w:p w:rsidR="00B15BFA" w:rsidRPr="007E1E85" w:rsidRDefault="00B15BFA" w:rsidP="007E1E85">
      <w:pPr>
        <w:pStyle w:val="Bullet1"/>
        <w:rPr>
          <w:rFonts w:ascii="Calibri" w:hAnsi="Calibri"/>
        </w:rPr>
      </w:pPr>
      <w:r w:rsidRPr="007E1E85">
        <w:rPr>
          <w:rFonts w:ascii="Calibri" w:hAnsi="Calibri"/>
        </w:rPr>
        <w:t xml:space="preserve">The integrity of the corrections transmitted to the users, is checked by the Integrity Monitor module, which processes the GNSS raw data and the DGNSS corrections collected by a DGNSS receiver. It is to be noted that the “DGNSS receiver” box depicted in </w:t>
      </w:r>
      <w:r w:rsidR="007E1E85">
        <w:rPr>
          <w:rFonts w:ascii="Calibri" w:hAnsi="Calibri"/>
        </w:rPr>
        <w:t>the figure</w:t>
      </w:r>
      <w:r w:rsidRPr="007E1E85">
        <w:rPr>
          <w:rFonts w:ascii="Calibri" w:hAnsi="Calibri"/>
        </w:rPr>
        <w:t xml:space="preserve"> includes: GNSS antenna, MF antenna and MSK demodulator (MF receiver).</w:t>
      </w:r>
    </w:p>
    <w:p w:rsidR="00B15BFA" w:rsidRPr="007E1E85" w:rsidRDefault="00B15BFA" w:rsidP="007E1E85">
      <w:pPr>
        <w:pStyle w:val="Bullet1"/>
        <w:rPr>
          <w:rFonts w:ascii="Calibri" w:hAnsi="Calibri"/>
        </w:rPr>
      </w:pPr>
      <w:r w:rsidRPr="007E1E85">
        <w:rPr>
          <w:rFonts w:ascii="Calibri" w:hAnsi="Calibri"/>
        </w:rPr>
        <w:t xml:space="preserve">Therefore, the integrity approach of this architecture corresponds to the Post-Broadcast Monitoring concept. This monitoring concept, not only monitors the </w:t>
      </w:r>
      <w:r w:rsidRPr="00EC0EA3">
        <w:rPr>
          <w:rFonts w:ascii="Calibri" w:hAnsi="Calibri"/>
        </w:rPr>
        <w:t>integrity</w:t>
      </w:r>
      <w:r w:rsidRPr="007E1E85">
        <w:rPr>
          <w:rFonts w:ascii="Calibri" w:hAnsi="Calibri"/>
        </w:rPr>
        <w:t xml:space="preserve"> of the data but also the </w:t>
      </w:r>
      <w:r w:rsidRPr="00EC0EA3">
        <w:rPr>
          <w:rFonts w:ascii="Calibri" w:hAnsi="Calibri"/>
        </w:rPr>
        <w:t>availability</w:t>
      </w:r>
      <w:r w:rsidRPr="007E1E85">
        <w:rPr>
          <w:rFonts w:ascii="Calibri" w:hAnsi="Calibri"/>
        </w:rPr>
        <w:t xml:space="preserve"> of the radio link and the quality of the signal transmitted. This is one of the major differences with respect to the Pre-Broadcast concept which includes the integrity monitoring functionality, but does not check the availability of the MF radio link.</w:t>
      </w:r>
    </w:p>
    <w:p w:rsidR="00B15BFA" w:rsidRPr="007E1E85" w:rsidRDefault="00B15BFA" w:rsidP="007E1E85">
      <w:pPr>
        <w:pStyle w:val="Bullet1"/>
        <w:rPr>
          <w:rFonts w:ascii="Calibri" w:hAnsi="Calibri"/>
        </w:rPr>
      </w:pPr>
    </w:p>
    <w:p w:rsidR="00B15BFA" w:rsidRPr="00B978B4" w:rsidRDefault="00B15BFA" w:rsidP="00B15BFA">
      <w:pPr>
        <w:keepNext/>
        <w:jc w:val="center"/>
      </w:pPr>
      <w:r>
        <w:rPr>
          <w:noProof/>
          <w:lang w:val="en-IE" w:eastAsia="en-IE"/>
        </w:rPr>
        <w:lastRenderedPageBreak/>
        <w:drawing>
          <wp:inline distT="0" distB="0" distL="0" distR="0" wp14:anchorId="23DDB2C5" wp14:editId="0B1FFDDF">
            <wp:extent cx="3366000" cy="3445200"/>
            <wp:effectExtent l="0" t="0" r="635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66000" cy="3445200"/>
                    </a:xfrm>
                    <a:prstGeom prst="rect">
                      <a:avLst/>
                    </a:prstGeom>
                    <a:noFill/>
                  </pic:spPr>
                </pic:pic>
              </a:graphicData>
            </a:graphic>
          </wp:inline>
        </w:drawing>
      </w:r>
    </w:p>
    <w:p w:rsidR="00B15BFA" w:rsidRPr="00EC293C" w:rsidRDefault="00EC293C" w:rsidP="00EC293C">
      <w:pPr>
        <w:pStyle w:val="Figure"/>
        <w:rPr>
          <w:rFonts w:ascii="Calibri" w:hAnsi="Calibri"/>
        </w:rPr>
      </w:pPr>
      <w:bookmarkStart w:id="11" w:name="_Toc455402156"/>
      <w:bookmarkStart w:id="12" w:name="_Ref456610703"/>
      <w:r>
        <w:rPr>
          <w:rFonts w:ascii="Calibri" w:hAnsi="Calibri"/>
        </w:rPr>
        <w:t>Baseline/c</w:t>
      </w:r>
      <w:r w:rsidR="00B15BFA" w:rsidRPr="00EC293C">
        <w:rPr>
          <w:rFonts w:ascii="Calibri" w:hAnsi="Calibri"/>
        </w:rPr>
        <w:t>urrent IALA Architecture</w:t>
      </w:r>
      <w:bookmarkEnd w:id="11"/>
      <w:bookmarkEnd w:id="12"/>
    </w:p>
    <w:p w:rsidR="00B15BFA" w:rsidRPr="00EC293C" w:rsidRDefault="00B15BFA" w:rsidP="00EC293C">
      <w:pPr>
        <w:pStyle w:val="Bullet1"/>
        <w:rPr>
          <w:rFonts w:ascii="Calibri" w:hAnsi="Calibri"/>
        </w:rPr>
      </w:pPr>
      <w:r w:rsidRPr="00EC293C">
        <w:rPr>
          <w:rFonts w:ascii="Calibri" w:hAnsi="Calibri"/>
        </w:rPr>
        <w:t xml:space="preserve">In terms of equipment, and excluding the transmission part which is the same for all the solutions presented in this </w:t>
      </w:r>
      <w:r w:rsidR="00EC293C">
        <w:rPr>
          <w:rFonts w:ascii="Calibri" w:hAnsi="Calibri"/>
        </w:rPr>
        <w:t>document</w:t>
      </w:r>
      <w:r w:rsidRPr="00EC293C">
        <w:rPr>
          <w:rFonts w:ascii="Calibri" w:hAnsi="Calibri"/>
        </w:rPr>
        <w:t>, this architecture consists of:</w:t>
      </w:r>
    </w:p>
    <w:p w:rsidR="00B15BFA" w:rsidRPr="00EC293C" w:rsidRDefault="00B15BFA" w:rsidP="00A37C89">
      <w:pPr>
        <w:pStyle w:val="Bullet1"/>
        <w:numPr>
          <w:ilvl w:val="0"/>
          <w:numId w:val="13"/>
        </w:numPr>
        <w:ind w:left="1134" w:hanging="567"/>
        <w:rPr>
          <w:rFonts w:ascii="Calibri" w:hAnsi="Calibri"/>
        </w:rPr>
      </w:pPr>
      <w:r w:rsidRPr="00EC293C">
        <w:rPr>
          <w:rFonts w:ascii="Calibri" w:hAnsi="Calibri"/>
        </w:rPr>
        <w:t>Two GNSS Antennas.</w:t>
      </w:r>
    </w:p>
    <w:p w:rsidR="00B15BFA" w:rsidRPr="00EC293C" w:rsidRDefault="00B15BFA" w:rsidP="00A37C89">
      <w:pPr>
        <w:pStyle w:val="Bullet1"/>
        <w:numPr>
          <w:ilvl w:val="0"/>
          <w:numId w:val="13"/>
        </w:numPr>
        <w:ind w:left="1134" w:hanging="567"/>
        <w:rPr>
          <w:rFonts w:ascii="Calibri" w:hAnsi="Calibri"/>
        </w:rPr>
      </w:pPr>
      <w:r w:rsidRPr="00EC293C">
        <w:rPr>
          <w:rFonts w:ascii="Calibri" w:hAnsi="Calibri"/>
        </w:rPr>
        <w:t>One MF Receiver (MF Antenna + MSK Demodulator).</w:t>
      </w:r>
    </w:p>
    <w:p w:rsidR="00B15BFA" w:rsidRPr="00EC293C" w:rsidRDefault="00B15BFA" w:rsidP="00A37C89">
      <w:pPr>
        <w:pStyle w:val="Bullet1"/>
        <w:numPr>
          <w:ilvl w:val="0"/>
          <w:numId w:val="13"/>
        </w:numPr>
        <w:ind w:left="1134" w:hanging="567"/>
        <w:rPr>
          <w:rFonts w:ascii="Calibri" w:hAnsi="Calibri"/>
        </w:rPr>
      </w:pPr>
      <w:r w:rsidRPr="00EC293C">
        <w:rPr>
          <w:rFonts w:ascii="Calibri" w:hAnsi="Calibri"/>
        </w:rPr>
        <w:t>One DGNSS Receiver (without including the MF receiver)</w:t>
      </w:r>
    </w:p>
    <w:p w:rsidR="00B15BFA" w:rsidRPr="00EC293C" w:rsidRDefault="00B15BFA" w:rsidP="00A37C89">
      <w:pPr>
        <w:pStyle w:val="Bullet1"/>
        <w:numPr>
          <w:ilvl w:val="0"/>
          <w:numId w:val="13"/>
        </w:numPr>
        <w:ind w:left="1134" w:hanging="567"/>
        <w:rPr>
          <w:rFonts w:ascii="Calibri" w:hAnsi="Calibri"/>
        </w:rPr>
      </w:pPr>
      <w:r w:rsidRPr="00EC293C">
        <w:rPr>
          <w:rFonts w:ascii="Calibri" w:hAnsi="Calibri"/>
        </w:rPr>
        <w:t>One GNSS Receiver</w:t>
      </w:r>
    </w:p>
    <w:p w:rsidR="00B15BFA" w:rsidRPr="00EC293C" w:rsidRDefault="00B15BFA" w:rsidP="00A37C89">
      <w:pPr>
        <w:pStyle w:val="Bullet1"/>
        <w:numPr>
          <w:ilvl w:val="0"/>
          <w:numId w:val="13"/>
        </w:numPr>
        <w:ind w:left="1134" w:hanging="567"/>
        <w:rPr>
          <w:rFonts w:ascii="Calibri" w:hAnsi="Calibri"/>
        </w:rPr>
      </w:pPr>
      <w:r w:rsidRPr="00EC293C">
        <w:rPr>
          <w:rFonts w:ascii="Calibri" w:hAnsi="Calibri"/>
        </w:rPr>
        <w:t xml:space="preserve">One Reference Station </w:t>
      </w:r>
    </w:p>
    <w:p w:rsidR="00B15BFA" w:rsidRPr="00EC293C" w:rsidRDefault="00B15BFA" w:rsidP="00A37C89">
      <w:pPr>
        <w:pStyle w:val="Bullet1"/>
        <w:numPr>
          <w:ilvl w:val="0"/>
          <w:numId w:val="13"/>
        </w:numPr>
        <w:ind w:left="1134" w:hanging="567"/>
        <w:rPr>
          <w:rFonts w:ascii="Calibri" w:hAnsi="Calibri"/>
        </w:rPr>
      </w:pPr>
      <w:r w:rsidRPr="00EC293C">
        <w:rPr>
          <w:rFonts w:ascii="Calibri" w:hAnsi="Calibri"/>
        </w:rPr>
        <w:t>One Integrity Monitoring</w:t>
      </w:r>
    </w:p>
    <w:p w:rsidR="00B15BFA" w:rsidRPr="00EC293C" w:rsidRDefault="00B15BFA" w:rsidP="00A37C89">
      <w:pPr>
        <w:pStyle w:val="Bullet1"/>
        <w:numPr>
          <w:ilvl w:val="0"/>
          <w:numId w:val="13"/>
        </w:numPr>
        <w:ind w:left="1134" w:hanging="567"/>
        <w:rPr>
          <w:rFonts w:ascii="Calibri" w:hAnsi="Calibri"/>
        </w:rPr>
      </w:pPr>
      <w:r w:rsidRPr="00EC293C">
        <w:rPr>
          <w:rFonts w:ascii="Calibri" w:hAnsi="Calibri"/>
        </w:rPr>
        <w:t>The RTCM encoder.</w:t>
      </w:r>
    </w:p>
    <w:p w:rsidR="00B15BFA" w:rsidRPr="00EC293C" w:rsidRDefault="00B15BFA" w:rsidP="00EC293C">
      <w:pPr>
        <w:pStyle w:val="Bullet1"/>
        <w:rPr>
          <w:rFonts w:ascii="Calibri" w:hAnsi="Calibri"/>
        </w:rPr>
      </w:pPr>
      <w:r w:rsidRPr="00EC293C">
        <w:rPr>
          <w:rFonts w:ascii="Calibri" w:hAnsi="Calibri"/>
        </w:rPr>
        <w:t>It is also noted that this architecture is commonly doubled in order to meet the availability requirements defined by IMO</w:t>
      </w:r>
      <w:r w:rsidR="00EC293C">
        <w:rPr>
          <w:rFonts w:ascii="Calibri" w:hAnsi="Calibri"/>
        </w:rPr>
        <w:t xml:space="preserve"> </w:t>
      </w:r>
      <w:r w:rsidR="00EC293C">
        <w:rPr>
          <w:rFonts w:ascii="Calibri" w:hAnsi="Calibri"/>
        </w:rPr>
        <w:fldChar w:fldCharType="begin"/>
      </w:r>
      <w:r w:rsidR="00EC293C">
        <w:rPr>
          <w:rFonts w:ascii="Calibri" w:hAnsi="Calibri"/>
        </w:rPr>
        <w:instrText xml:space="preserve"> REF _Ref455583383 \r \h </w:instrText>
      </w:r>
      <w:r w:rsidR="00EC293C">
        <w:rPr>
          <w:rFonts w:ascii="Calibri" w:hAnsi="Calibri"/>
        </w:rPr>
      </w:r>
      <w:r w:rsidR="00EC293C">
        <w:rPr>
          <w:rFonts w:ascii="Calibri" w:hAnsi="Calibri"/>
        </w:rPr>
        <w:fldChar w:fldCharType="separate"/>
      </w:r>
      <w:r w:rsidR="00E15EEB">
        <w:rPr>
          <w:rFonts w:ascii="Calibri" w:hAnsi="Calibri"/>
        </w:rPr>
        <w:t>[4]</w:t>
      </w:r>
      <w:r w:rsidR="00EC293C">
        <w:rPr>
          <w:rFonts w:ascii="Calibri" w:hAnsi="Calibri"/>
        </w:rPr>
        <w:fldChar w:fldCharType="end"/>
      </w:r>
      <w:r w:rsidRPr="00EC293C">
        <w:rPr>
          <w:rFonts w:ascii="Calibri" w:hAnsi="Calibri"/>
        </w:rPr>
        <w:t>.</w:t>
      </w:r>
    </w:p>
    <w:p w:rsidR="00EA3754" w:rsidRPr="007A4623" w:rsidRDefault="00EA3754" w:rsidP="00EA3754">
      <w:pPr>
        <w:pStyle w:val="AnnexHeading1"/>
        <w:numPr>
          <w:ilvl w:val="1"/>
          <w:numId w:val="17"/>
        </w:numPr>
      </w:pPr>
      <w:bookmarkStart w:id="13" w:name="_Ref456193055"/>
      <w:r w:rsidRPr="00A043D5">
        <w:t>Hybrid Decentralised Architecture: Traditional D</w:t>
      </w:r>
      <w:r>
        <w:t>GNSS + SISNeT Based</w:t>
      </w:r>
      <w:bookmarkEnd w:id="13"/>
      <w:r w:rsidR="00BC3E04">
        <w:t xml:space="preserve"> </w:t>
      </w:r>
    </w:p>
    <w:p w:rsidR="00EA3754" w:rsidRDefault="00EA3754" w:rsidP="00EA3754">
      <w:pPr>
        <w:pStyle w:val="BodyText"/>
      </w:pPr>
      <w:r w:rsidRPr="00A56119">
        <w:t xml:space="preserve">This is a redundant decentralised solution, combining the traditional DGNSS configuration and the </w:t>
      </w:r>
      <w:proofErr w:type="spellStart"/>
      <w:r w:rsidRPr="00A56119">
        <w:t>SISNeT</w:t>
      </w:r>
      <w:proofErr w:type="spellEnd"/>
      <w:r w:rsidRPr="00A56119">
        <w:t xml:space="preserve"> based architecture which counts on two RS and two IM locally onsite</w:t>
      </w:r>
      <w:r w:rsidR="00A52E7F">
        <w:t>.</w:t>
      </w:r>
    </w:p>
    <w:p w:rsidR="00EA3754" w:rsidRDefault="00EA3754" w:rsidP="00EA3754">
      <w:pPr>
        <w:pStyle w:val="BodyText"/>
      </w:pPr>
      <w:r>
        <w:t xml:space="preserve">The two IM are identical and in line with the current architecture while for the second RS, as depicted in the following figure, the GNSS receiver and the standard reference station are replaced by a </w:t>
      </w:r>
      <w:proofErr w:type="spellStart"/>
      <w:r>
        <w:t>SISNeT</w:t>
      </w:r>
      <w:proofErr w:type="spellEnd"/>
      <w:r>
        <w:t xml:space="preserve"> Client and a RTCA to RTCM converter. Please note also that all the components highlighted in the following figure (</w:t>
      </w:r>
      <w:proofErr w:type="spellStart"/>
      <w:r>
        <w:t>SISNeT</w:t>
      </w:r>
      <w:proofErr w:type="spellEnd"/>
      <w:r>
        <w:t xml:space="preserve"> Client, RTCA to RTCM converter, Integrity Monitoring and RTCM encoder) could be integrated in a single SW module. This module will be responsible for:</w:t>
      </w:r>
    </w:p>
    <w:p w:rsidR="00EA3754" w:rsidRPr="005F1E17" w:rsidRDefault="00EA3754" w:rsidP="00EA3754">
      <w:pPr>
        <w:pStyle w:val="Bullet1"/>
        <w:numPr>
          <w:ilvl w:val="0"/>
          <w:numId w:val="13"/>
        </w:numPr>
        <w:ind w:left="1134" w:hanging="567"/>
        <w:rPr>
          <w:rFonts w:ascii="Calibri" w:hAnsi="Calibri"/>
        </w:rPr>
      </w:pPr>
      <w:r w:rsidRPr="005F1E17">
        <w:rPr>
          <w:rFonts w:ascii="Calibri" w:hAnsi="Calibri"/>
        </w:rPr>
        <w:t xml:space="preserve">Getting the SBAS corrections and GPS ephemeris from the EDAS </w:t>
      </w:r>
      <w:proofErr w:type="spellStart"/>
      <w:r w:rsidRPr="005F1E17">
        <w:rPr>
          <w:rFonts w:ascii="Calibri" w:hAnsi="Calibri"/>
        </w:rPr>
        <w:t>SISNeT</w:t>
      </w:r>
      <w:proofErr w:type="spellEnd"/>
      <w:r w:rsidRPr="005F1E17">
        <w:rPr>
          <w:rFonts w:ascii="Calibri" w:hAnsi="Calibri"/>
        </w:rPr>
        <w:t xml:space="preserve"> server.</w:t>
      </w:r>
    </w:p>
    <w:p w:rsidR="00EA3754" w:rsidRPr="005F1E17" w:rsidRDefault="00EA3754" w:rsidP="00EA3754">
      <w:pPr>
        <w:pStyle w:val="Bullet1"/>
        <w:numPr>
          <w:ilvl w:val="0"/>
          <w:numId w:val="13"/>
        </w:numPr>
        <w:ind w:left="1134" w:hanging="567"/>
        <w:rPr>
          <w:rFonts w:ascii="Calibri" w:hAnsi="Calibri"/>
        </w:rPr>
      </w:pPr>
      <w:r w:rsidRPr="005F1E17">
        <w:rPr>
          <w:rFonts w:ascii="Calibri" w:hAnsi="Calibri"/>
        </w:rPr>
        <w:t>Converting the SBAS messages into DGPS corrections in RTCM format.</w:t>
      </w:r>
    </w:p>
    <w:p w:rsidR="00EA3754" w:rsidRPr="005F1E17" w:rsidRDefault="00EA3754" w:rsidP="00EA3754">
      <w:pPr>
        <w:pStyle w:val="Bullet1"/>
        <w:numPr>
          <w:ilvl w:val="0"/>
          <w:numId w:val="13"/>
        </w:numPr>
        <w:ind w:left="1134" w:hanging="567"/>
        <w:rPr>
          <w:rFonts w:ascii="Calibri" w:hAnsi="Calibri"/>
        </w:rPr>
      </w:pPr>
      <w:r w:rsidRPr="005F1E17">
        <w:rPr>
          <w:rFonts w:ascii="Calibri" w:hAnsi="Calibri"/>
        </w:rPr>
        <w:t>Checking the integrity of these corrections (pre and/or post broadcast) based on the information provided by the DGNSS receiver</w:t>
      </w:r>
    </w:p>
    <w:p w:rsidR="00EA3754" w:rsidRPr="005F1E17" w:rsidRDefault="00EA3754" w:rsidP="00EA3754">
      <w:pPr>
        <w:pStyle w:val="Bullet1"/>
        <w:numPr>
          <w:ilvl w:val="0"/>
          <w:numId w:val="13"/>
        </w:numPr>
        <w:ind w:left="1134" w:hanging="567"/>
        <w:rPr>
          <w:rFonts w:ascii="Calibri" w:hAnsi="Calibri"/>
        </w:rPr>
      </w:pPr>
      <w:r w:rsidRPr="005F1E17">
        <w:rPr>
          <w:rFonts w:ascii="Calibri" w:hAnsi="Calibri"/>
        </w:rPr>
        <w:lastRenderedPageBreak/>
        <w:t>Encoding the differential corrections together with the integrity data in RTCM format.</w:t>
      </w:r>
    </w:p>
    <w:p w:rsidR="00EA3754" w:rsidRDefault="00EA3754" w:rsidP="00EA3754">
      <w:pPr>
        <w:pStyle w:val="BodyText"/>
      </w:pPr>
    </w:p>
    <w:p w:rsidR="00EA3754" w:rsidRDefault="00EA3754" w:rsidP="00EA3754">
      <w:pPr>
        <w:jc w:val="center"/>
      </w:pPr>
      <w:r>
        <w:rPr>
          <w:noProof/>
          <w:lang w:val="en-IE" w:eastAsia="en-IE"/>
        </w:rPr>
        <w:drawing>
          <wp:inline distT="0" distB="0" distL="0" distR="0" wp14:anchorId="655B005E" wp14:editId="6F2A045E">
            <wp:extent cx="5256517" cy="3960000"/>
            <wp:effectExtent l="0" t="0" r="190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56517" cy="3960000"/>
                    </a:xfrm>
                    <a:prstGeom prst="rect">
                      <a:avLst/>
                    </a:prstGeom>
                    <a:noFill/>
                  </pic:spPr>
                </pic:pic>
              </a:graphicData>
            </a:graphic>
          </wp:inline>
        </w:drawing>
      </w:r>
    </w:p>
    <w:p w:rsidR="00EA3754" w:rsidRPr="005F1E17" w:rsidRDefault="00EA3754" w:rsidP="00EA3754">
      <w:pPr>
        <w:pStyle w:val="Figure"/>
        <w:rPr>
          <w:rFonts w:ascii="Calibri" w:hAnsi="Calibri"/>
        </w:rPr>
      </w:pPr>
      <w:r w:rsidRPr="005F1E17">
        <w:rPr>
          <w:rFonts w:ascii="Calibri" w:hAnsi="Calibri"/>
        </w:rPr>
        <w:t xml:space="preserve">Hybrid Decentralised Architecture: Traditional DGNSS + </w:t>
      </w:r>
      <w:proofErr w:type="spellStart"/>
      <w:r w:rsidRPr="005F1E17">
        <w:rPr>
          <w:rFonts w:ascii="Calibri" w:hAnsi="Calibri"/>
        </w:rPr>
        <w:t>SISNeT</w:t>
      </w:r>
      <w:proofErr w:type="spellEnd"/>
      <w:r w:rsidRPr="005F1E17">
        <w:rPr>
          <w:rFonts w:ascii="Calibri" w:hAnsi="Calibri"/>
        </w:rPr>
        <w:t xml:space="preserve"> Based</w:t>
      </w:r>
    </w:p>
    <w:p w:rsidR="00EA3754" w:rsidRDefault="00EA3754" w:rsidP="00EA3754">
      <w:pPr>
        <w:pStyle w:val="BodyText"/>
      </w:pPr>
      <w:r>
        <w:t>Please note also that in order to reduce the infrastructure needed at each beacon site (maintaining redundant Integrity Monitoring architecture), the raw data collected by the GNSS receiver and/or the DGNSS receiver of the traditional architecture (left chain in the figure) could be used by the integrity monitoring module of the EGNOS based solution (right chain).</w:t>
      </w:r>
    </w:p>
    <w:p w:rsidR="00EA3754" w:rsidRDefault="00EA3754" w:rsidP="00EA3754">
      <w:pPr>
        <w:pStyle w:val="BodyText"/>
      </w:pPr>
      <w:r>
        <w:t xml:space="preserve">Another option for this architecture is to replace the </w:t>
      </w:r>
      <w:proofErr w:type="spellStart"/>
      <w:r>
        <w:t>SISNeT</w:t>
      </w:r>
      <w:proofErr w:type="spellEnd"/>
      <w:r>
        <w:t xml:space="preserve"> client by a GNSS antenna and an SBAS enabled receiver. In that case, internet connectivity will not be needed in the reference station, but more equipment will be required (GNSS antenna and SBAS receiver) at each beacon site. </w:t>
      </w:r>
    </w:p>
    <w:p w:rsidR="00EA3754" w:rsidRPr="00A043D5" w:rsidRDefault="00EA3754" w:rsidP="00EA3754">
      <w:pPr>
        <w:pStyle w:val="AnnexHeading1"/>
        <w:numPr>
          <w:ilvl w:val="1"/>
          <w:numId w:val="17"/>
        </w:numPr>
      </w:pPr>
      <w:bookmarkStart w:id="14" w:name="_Ref456193062"/>
      <w:r w:rsidRPr="00A043D5">
        <w:t xml:space="preserve">Hybrid Centralised </w:t>
      </w:r>
      <w:r w:rsidRPr="00B978B4">
        <w:t>Architecture</w:t>
      </w:r>
      <w:r w:rsidRPr="00A043D5">
        <w:t>: Traditional D</w:t>
      </w:r>
      <w:r>
        <w:t>G</w:t>
      </w:r>
      <w:r w:rsidRPr="0024263C">
        <w:t>NSS + EGNOS Based VRS</w:t>
      </w:r>
      <w:bookmarkEnd w:id="14"/>
    </w:p>
    <w:p w:rsidR="00EA3754" w:rsidRDefault="00EA3754" w:rsidP="00EA3754">
      <w:pPr>
        <w:pStyle w:val="BodyText"/>
      </w:pPr>
      <w:r w:rsidRPr="00FA28DC">
        <w:t>This solution combines a traditional DGNSS station deployed at each beacon site with a centralised EGNOS based VRS solution.</w:t>
      </w:r>
    </w:p>
    <w:p w:rsidR="00EA3754" w:rsidRDefault="00EA3754" w:rsidP="00EA3754">
      <w:pPr>
        <w:pStyle w:val="BodyText"/>
      </w:pPr>
      <w:r>
        <w:t>B</w:t>
      </w:r>
      <w:r w:rsidRPr="0091516F">
        <w:t>oth the RS and the IM stations are centrali</w:t>
      </w:r>
      <w:r w:rsidRPr="00B978B4">
        <w:t>s</w:t>
      </w:r>
      <w:r w:rsidRPr="0091516F">
        <w:t>ed in the “Central Facility”</w:t>
      </w:r>
      <w:r>
        <w:t xml:space="preserve">, and therefore, the </w:t>
      </w:r>
      <w:r w:rsidRPr="00B978B4">
        <w:t xml:space="preserve">only infrastructure needed at each beacon site is the communication lines and the transmission equipment (apart from the </w:t>
      </w:r>
      <w:proofErr w:type="spellStart"/>
      <w:r w:rsidRPr="00B978B4">
        <w:t>Ntr</w:t>
      </w:r>
      <w:r>
        <w:t>i</w:t>
      </w:r>
      <w:r w:rsidRPr="00B978B4">
        <w:t>p</w:t>
      </w:r>
      <w:proofErr w:type="spellEnd"/>
      <w:r w:rsidRPr="00B978B4">
        <w:t xml:space="preserve"> client to retrieve the differential corrections).</w:t>
      </w:r>
    </w:p>
    <w:p w:rsidR="00EA3754" w:rsidRDefault="00EA3754" w:rsidP="00EA3754">
      <w:pPr>
        <w:pStyle w:val="BodyText"/>
      </w:pPr>
      <w:r>
        <w:t>The</w:t>
      </w:r>
      <w:r w:rsidRPr="00B978B4">
        <w:t xml:space="preserve"> </w:t>
      </w:r>
      <w:r>
        <w:t xml:space="preserve">EGNOS based centralised solution </w:t>
      </w:r>
      <w:r w:rsidRPr="00B978B4">
        <w:t xml:space="preserve">is based on the pre-broadcast monitoring approach, </w:t>
      </w:r>
      <w:r>
        <w:t xml:space="preserve">using the raw data collected by a network of GNSS receivers to check the integrity of the corrections generated and </w:t>
      </w:r>
      <w:r w:rsidRPr="00B978B4">
        <w:t>a network of MF receivers</w:t>
      </w:r>
      <w:r>
        <w:t xml:space="preserve">, to monitor the </w:t>
      </w:r>
      <w:r w:rsidRPr="00B978B4">
        <w:t>radio link availability and the qua</w:t>
      </w:r>
      <w:r>
        <w:t>lity of the signal transmitted.</w:t>
      </w:r>
    </w:p>
    <w:p w:rsidR="00EA3754" w:rsidRPr="00AE3A9A" w:rsidRDefault="00EA3754" w:rsidP="00EA3754">
      <w:pPr>
        <w:pStyle w:val="BodyText"/>
      </w:pPr>
      <w:r w:rsidRPr="00AE3A9A">
        <w:t>It is to be noted that the DGNSS and GNSS receivers in the traditional DGNSS architecture (left chain in figure below) could be also used to monitor the signal and corrections transmitted by the EGNOS based solution (right chain in the figure below).</w:t>
      </w:r>
    </w:p>
    <w:p w:rsidR="00EA3754" w:rsidRDefault="00EA3754" w:rsidP="00EA3754">
      <w:pPr>
        <w:pStyle w:val="BodyText"/>
      </w:pPr>
      <w:r w:rsidRPr="00AE3A9A">
        <w:lastRenderedPageBreak/>
        <w:t>Finally, it is important to remark that apart from the reduction of HW/SW components of the EGNOS</w:t>
      </w:r>
      <w:r>
        <w:t xml:space="preserve"> based centralised solution at each beacon site, another advantage of this solution is that it is resilient in front of jamming attacks in the vicinity of the reference station. In that situation, the traditional reference station will not be able to collect GNSS raw data and therefore not able to generate differential corrections. However, the EGNOS based VRS solution will not be affected by this attack.</w:t>
      </w:r>
    </w:p>
    <w:p w:rsidR="00EA3754" w:rsidRDefault="00B77A02" w:rsidP="00EA3754">
      <w:pPr>
        <w:jc w:val="center"/>
      </w:pPr>
      <w:r>
        <w:rPr>
          <w:noProof/>
          <w:lang w:val="en-IE" w:eastAsia="en-IE"/>
        </w:rPr>
        <w:drawing>
          <wp:inline distT="0" distB="0" distL="0" distR="0" wp14:anchorId="39F66B68" wp14:editId="3D8345C7">
            <wp:extent cx="5256000" cy="3960000"/>
            <wp:effectExtent l="0" t="0" r="1905" b="254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56000" cy="3960000"/>
                    </a:xfrm>
                    <a:prstGeom prst="rect">
                      <a:avLst/>
                    </a:prstGeom>
                    <a:noFill/>
                  </pic:spPr>
                </pic:pic>
              </a:graphicData>
            </a:graphic>
          </wp:inline>
        </w:drawing>
      </w:r>
    </w:p>
    <w:p w:rsidR="00EA3754" w:rsidRPr="00F3289A" w:rsidRDefault="00EA3754" w:rsidP="00EA3754">
      <w:pPr>
        <w:pStyle w:val="Figure"/>
        <w:rPr>
          <w:rFonts w:ascii="Calibri" w:hAnsi="Calibri"/>
          <w:szCs w:val="22"/>
        </w:rPr>
      </w:pPr>
      <w:r w:rsidRPr="00F3289A">
        <w:rPr>
          <w:rFonts w:ascii="Calibri" w:hAnsi="Calibri"/>
          <w:szCs w:val="22"/>
        </w:rPr>
        <w:t>Hybrid Centralised Architecture: Traditional DGNSS + EGNOS Based VRS</w:t>
      </w:r>
    </w:p>
    <w:p w:rsidR="00EA3754" w:rsidRDefault="00EA3754" w:rsidP="00EA3754"/>
    <w:p w:rsidR="00EA3754" w:rsidRDefault="00EA3754" w:rsidP="00EA3754">
      <w:pPr>
        <w:pStyle w:val="AnnexHeading1"/>
        <w:numPr>
          <w:ilvl w:val="1"/>
          <w:numId w:val="17"/>
        </w:numPr>
      </w:pPr>
      <w:bookmarkStart w:id="15" w:name="_Ref456193068"/>
      <w:r>
        <w:t>Redundant Fully</w:t>
      </w:r>
      <w:r w:rsidRPr="00A043D5">
        <w:t xml:space="preserve"> EGNOS Based Solution</w:t>
      </w:r>
      <w:bookmarkEnd w:id="15"/>
    </w:p>
    <w:p w:rsidR="00EA3754" w:rsidRDefault="00EA3754" w:rsidP="00EA3754">
      <w:pPr>
        <w:pStyle w:val="BodyText"/>
      </w:pPr>
      <w:r>
        <w:t xml:space="preserve">This is a fully EGNOS based solution, combining the decentralised (left chain) and centralised (right chain) approaches. </w:t>
      </w:r>
    </w:p>
    <w:p w:rsidR="00FC7D4D" w:rsidRDefault="00FC7D4D" w:rsidP="00EA3754">
      <w:pPr>
        <w:pStyle w:val="BodyText"/>
      </w:pPr>
      <w:r>
        <w:t xml:space="preserve">The centralised solution corresponds with the architecture presented in the previous section (right chain), where the </w:t>
      </w:r>
      <w:r w:rsidRPr="0091516F">
        <w:t>RS and the IM stations are centrali</w:t>
      </w:r>
      <w:r w:rsidRPr="00B978B4">
        <w:t>s</w:t>
      </w:r>
      <w:r w:rsidRPr="0091516F">
        <w:t>ed in the “Central Facility”</w:t>
      </w:r>
      <w:r>
        <w:t xml:space="preserve">. For the decentralised solution (left chain), </w:t>
      </w:r>
      <w:r w:rsidR="00F211C0">
        <w:t xml:space="preserve">it is noted that </w:t>
      </w:r>
      <w:r>
        <w:t xml:space="preserve">the SBAS corrections can be obtained from a </w:t>
      </w:r>
      <w:proofErr w:type="spellStart"/>
      <w:r>
        <w:t>SISNeT</w:t>
      </w:r>
      <w:proofErr w:type="spellEnd"/>
      <w:r>
        <w:t xml:space="preserve"> client or from an SBAS enabled receiver. </w:t>
      </w:r>
      <w:r w:rsidR="00F211C0">
        <w:t>The raw data collected by the GNSS receiver and/or the DGNSS receiver of the decentralised architecture (left chain in the figure) could be used by the integrity monitoring module of the EGNOS based centralised solution (right chain).</w:t>
      </w:r>
    </w:p>
    <w:p w:rsidR="00FC7D4D" w:rsidRDefault="00EA3754" w:rsidP="00EA3754">
      <w:pPr>
        <w:pStyle w:val="BodyText"/>
      </w:pPr>
      <w:r>
        <w:t>In order to increase the system redundancy, it is recommended to use two independent RTCA to RTCM SW solutions in the decentralised architecture (left chain) and the centralised architecture (right chain).</w:t>
      </w:r>
    </w:p>
    <w:p w:rsidR="00EA3754" w:rsidRDefault="00B77A02" w:rsidP="00EA3754">
      <w:pPr>
        <w:jc w:val="center"/>
      </w:pPr>
      <w:r>
        <w:rPr>
          <w:noProof/>
          <w:lang w:val="en-IE" w:eastAsia="en-IE"/>
        </w:rPr>
        <w:lastRenderedPageBreak/>
        <w:drawing>
          <wp:inline distT="0" distB="0" distL="0" distR="0" wp14:anchorId="7018CAB1" wp14:editId="0224DB9F">
            <wp:extent cx="5256000" cy="3960000"/>
            <wp:effectExtent l="0" t="0" r="1905" b="254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56000" cy="3960000"/>
                    </a:xfrm>
                    <a:prstGeom prst="rect">
                      <a:avLst/>
                    </a:prstGeom>
                    <a:noFill/>
                  </pic:spPr>
                </pic:pic>
              </a:graphicData>
            </a:graphic>
          </wp:inline>
        </w:drawing>
      </w:r>
    </w:p>
    <w:p w:rsidR="00EA3754" w:rsidRPr="00F3289A" w:rsidRDefault="00EA3754" w:rsidP="00EA3754">
      <w:pPr>
        <w:pStyle w:val="Figure"/>
        <w:rPr>
          <w:rFonts w:ascii="Calibri" w:hAnsi="Calibri"/>
          <w:szCs w:val="22"/>
        </w:rPr>
      </w:pPr>
      <w:r w:rsidRPr="00F3289A">
        <w:rPr>
          <w:rFonts w:ascii="Calibri" w:hAnsi="Calibri"/>
          <w:szCs w:val="22"/>
        </w:rPr>
        <w:t>Fully EGNOS Based Solution</w:t>
      </w:r>
    </w:p>
    <w:p w:rsidR="00EA3754" w:rsidRDefault="00EA3754" w:rsidP="008342DD">
      <w:pPr>
        <w:pStyle w:val="Bullet1"/>
        <w:rPr>
          <w:rFonts w:ascii="Calibri" w:hAnsi="Calibri"/>
        </w:rPr>
        <w:sectPr w:rsidR="00EA3754" w:rsidSect="00A806B6">
          <w:headerReference w:type="first" r:id="rId16"/>
          <w:pgSz w:w="11907" w:h="16840" w:code="9"/>
          <w:pgMar w:top="1440" w:right="1474" w:bottom="1440" w:left="1191" w:header="709" w:footer="437" w:gutter="0"/>
          <w:cols w:space="708"/>
          <w:docGrid w:linePitch="360"/>
        </w:sectPr>
      </w:pPr>
    </w:p>
    <w:p w:rsidR="00BA25D5" w:rsidRPr="008342DD" w:rsidRDefault="00EA3754" w:rsidP="00A37C89">
      <w:pPr>
        <w:pStyle w:val="AnnexHeading1"/>
        <w:numPr>
          <w:ilvl w:val="1"/>
          <w:numId w:val="17"/>
        </w:numPr>
      </w:pPr>
      <w:bookmarkStart w:id="16" w:name="_Ref456610520"/>
      <w:r>
        <w:lastRenderedPageBreak/>
        <w:t>Trade-Off Analysis</w:t>
      </w:r>
      <w:bookmarkEnd w:id="16"/>
    </w:p>
    <w:p w:rsidR="00BA25D5" w:rsidRDefault="00EA3754" w:rsidP="008342DD">
      <w:pPr>
        <w:pStyle w:val="BodyText"/>
      </w:pPr>
      <w:r>
        <w:t>As mentioned befo</w:t>
      </w:r>
      <w:r w:rsidR="00344644">
        <w:t xml:space="preserve">re, a trade-off analysis of potential </w:t>
      </w:r>
      <w:r>
        <w:t>EGNOS-based architectures</w:t>
      </w:r>
      <w:r w:rsidR="00BA25D5">
        <w:t xml:space="preserve"> has been done</w:t>
      </w:r>
      <w:r w:rsidR="00344644">
        <w:t>,</w:t>
      </w:r>
      <w:r w:rsidR="00BA25D5">
        <w:t xml:space="preserve"> taking</w:t>
      </w:r>
      <w:r w:rsidR="008342DD">
        <w:t xml:space="preserve"> into account the key features </w:t>
      </w:r>
      <w:r w:rsidR="00BA25D5">
        <w:t xml:space="preserve">described in </w:t>
      </w:r>
      <w:r w:rsidR="008342DD">
        <w:t>the table below, derived from the</w:t>
      </w:r>
      <w:r w:rsidR="00BA25D5">
        <w:t xml:space="preserve"> baseline architecture and considering the following colour code:</w:t>
      </w:r>
    </w:p>
    <w:p w:rsidR="00BA25D5" w:rsidRPr="008342DD" w:rsidRDefault="00BA25D5" w:rsidP="00C9376C">
      <w:pPr>
        <w:pStyle w:val="Bullet1"/>
        <w:numPr>
          <w:ilvl w:val="0"/>
          <w:numId w:val="13"/>
        </w:numPr>
        <w:spacing w:after="0"/>
        <w:ind w:left="1134" w:hanging="567"/>
        <w:rPr>
          <w:rFonts w:ascii="Calibri" w:hAnsi="Calibri"/>
        </w:rPr>
      </w:pPr>
      <w:r w:rsidRPr="008342DD">
        <w:rPr>
          <w:rFonts w:ascii="Calibri" w:hAnsi="Calibri"/>
        </w:rPr>
        <w:t>Green colour: Feature improved w.r.t. the baseline.</w:t>
      </w:r>
    </w:p>
    <w:p w:rsidR="00BA25D5" w:rsidRPr="008342DD" w:rsidRDefault="00BA25D5" w:rsidP="00C9376C">
      <w:pPr>
        <w:pStyle w:val="Bullet1"/>
        <w:numPr>
          <w:ilvl w:val="0"/>
          <w:numId w:val="13"/>
        </w:numPr>
        <w:spacing w:after="0"/>
        <w:ind w:left="1134" w:hanging="567"/>
        <w:rPr>
          <w:rFonts w:ascii="Calibri" w:hAnsi="Calibri"/>
        </w:rPr>
      </w:pPr>
      <w:r w:rsidRPr="008342DD">
        <w:rPr>
          <w:rFonts w:ascii="Calibri" w:hAnsi="Calibri"/>
        </w:rPr>
        <w:t>White colour: Same as the baseline (no improvement/degradation).</w:t>
      </w:r>
    </w:p>
    <w:p w:rsidR="00BA25D5" w:rsidRDefault="00BA25D5" w:rsidP="00C9376C">
      <w:pPr>
        <w:pStyle w:val="Bullet1"/>
        <w:numPr>
          <w:ilvl w:val="0"/>
          <w:numId w:val="13"/>
        </w:numPr>
        <w:spacing w:after="0"/>
        <w:ind w:left="1134" w:hanging="567"/>
        <w:rPr>
          <w:rFonts w:ascii="Calibri" w:hAnsi="Calibri"/>
        </w:rPr>
      </w:pPr>
      <w:r w:rsidRPr="008342DD">
        <w:rPr>
          <w:rFonts w:ascii="Calibri" w:hAnsi="Calibri"/>
        </w:rPr>
        <w:t>Red colour: Feature degraded w.r.t. the baseline.</w:t>
      </w:r>
    </w:p>
    <w:p w:rsidR="00C9376C" w:rsidRPr="00C9376C" w:rsidRDefault="00C9376C" w:rsidP="00C9376C">
      <w:pPr>
        <w:spacing w:before="120" w:after="120"/>
        <w:jc w:val="both"/>
        <w:rPr>
          <w:rFonts w:asciiTheme="minorHAnsi" w:hAnsiTheme="minorHAnsi"/>
        </w:rPr>
      </w:pPr>
      <w:r w:rsidRPr="00C9376C">
        <w:rPr>
          <w:rFonts w:asciiTheme="minorHAnsi" w:hAnsiTheme="minorHAnsi"/>
        </w:rPr>
        <w:t>It should be noted that, for some features, only two of the above assessments will be possible. As an example, for the MF Link Monitoring capability, a ‘green’ assessment is not possible (no improvement) since:</w:t>
      </w:r>
    </w:p>
    <w:p w:rsidR="00C9376C" w:rsidRPr="00C9376C" w:rsidRDefault="00C9376C" w:rsidP="00C9376C">
      <w:pPr>
        <w:pStyle w:val="ListParagraph"/>
        <w:numPr>
          <w:ilvl w:val="0"/>
          <w:numId w:val="32"/>
        </w:numPr>
        <w:spacing w:after="120"/>
        <w:rPr>
          <w:rFonts w:asciiTheme="minorHAnsi" w:hAnsiTheme="minorHAnsi"/>
        </w:rPr>
      </w:pPr>
      <w:r w:rsidRPr="00C9376C">
        <w:rPr>
          <w:rFonts w:asciiTheme="minorHAnsi" w:hAnsiTheme="minorHAnsi"/>
        </w:rPr>
        <w:t>Architecture provides MF link monitoring: same situation as baseline architecture (white colour).</w:t>
      </w:r>
    </w:p>
    <w:p w:rsidR="00C9376C" w:rsidRPr="00C9376C" w:rsidRDefault="00C9376C" w:rsidP="00C9376C">
      <w:pPr>
        <w:pStyle w:val="ListParagraph"/>
        <w:numPr>
          <w:ilvl w:val="0"/>
          <w:numId w:val="32"/>
        </w:numPr>
        <w:spacing w:after="120"/>
        <w:rPr>
          <w:rFonts w:asciiTheme="minorHAnsi" w:hAnsiTheme="minorHAnsi"/>
        </w:rPr>
      </w:pPr>
      <w:r w:rsidRPr="00C9376C">
        <w:rPr>
          <w:rFonts w:asciiTheme="minorHAnsi" w:hAnsiTheme="minorHAnsi"/>
        </w:rPr>
        <w:t>Architecture does not provide MF link monitoring: degraded situation with respect to baseline architecture (red colour).</w:t>
      </w:r>
    </w:p>
    <w:p w:rsidR="004012E8" w:rsidRPr="007A395D" w:rsidRDefault="004012E8" w:rsidP="004012E8">
      <w:pPr>
        <w:pStyle w:val="Table"/>
        <w:numPr>
          <w:ilvl w:val="0"/>
          <w:numId w:val="9"/>
        </w:numPr>
        <w:rPr>
          <w:rFonts w:ascii="Calibri" w:hAnsi="Calibri"/>
        </w:rPr>
      </w:pPr>
      <w:r>
        <w:rPr>
          <w:rFonts w:ascii="Calibri" w:hAnsi="Calibri"/>
        </w:rPr>
        <w:t>Key features (legend) used for the assessment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5"/>
        <w:gridCol w:w="3331"/>
        <w:gridCol w:w="3331"/>
        <w:gridCol w:w="1985"/>
        <w:gridCol w:w="1985"/>
        <w:gridCol w:w="2019"/>
      </w:tblGrid>
      <w:tr w:rsidR="004012E8" w:rsidRPr="007A395D" w:rsidTr="00A806B6">
        <w:trPr>
          <w:trHeight w:val="227"/>
          <w:tblHeader/>
        </w:trPr>
        <w:tc>
          <w:tcPr>
            <w:tcW w:w="538" w:type="pct"/>
            <w:vAlign w:val="center"/>
          </w:tcPr>
          <w:p w:rsidR="008342DD" w:rsidRPr="008342DD" w:rsidRDefault="008342DD" w:rsidP="008342DD">
            <w:pPr>
              <w:pStyle w:val="BodyText"/>
              <w:jc w:val="center"/>
              <w:rPr>
                <w:b/>
              </w:rPr>
            </w:pPr>
            <w:r w:rsidRPr="008342DD">
              <w:rPr>
                <w:b/>
              </w:rPr>
              <w:t>Key feature ID</w:t>
            </w:r>
          </w:p>
        </w:tc>
        <w:tc>
          <w:tcPr>
            <w:tcW w:w="1175" w:type="pct"/>
            <w:vAlign w:val="center"/>
          </w:tcPr>
          <w:p w:rsidR="008342DD" w:rsidRPr="008342DD" w:rsidRDefault="008342DD" w:rsidP="008342DD">
            <w:pPr>
              <w:pStyle w:val="BodyText"/>
              <w:jc w:val="center"/>
              <w:rPr>
                <w:b/>
              </w:rPr>
            </w:pPr>
            <w:r w:rsidRPr="008342DD">
              <w:rPr>
                <w:b/>
              </w:rPr>
              <w:t>Key feature</w:t>
            </w:r>
          </w:p>
        </w:tc>
        <w:tc>
          <w:tcPr>
            <w:tcW w:w="1175" w:type="pct"/>
            <w:vAlign w:val="center"/>
          </w:tcPr>
          <w:p w:rsidR="008342DD" w:rsidRPr="008342DD" w:rsidRDefault="008342DD" w:rsidP="008342DD">
            <w:pPr>
              <w:pStyle w:val="BodyText"/>
              <w:jc w:val="center"/>
              <w:rPr>
                <w:b/>
              </w:rPr>
            </w:pPr>
            <w:r w:rsidRPr="008342DD">
              <w:rPr>
                <w:b/>
              </w:rPr>
              <w:t>Baseline (Current) Architecture</w:t>
            </w:r>
          </w:p>
        </w:tc>
        <w:tc>
          <w:tcPr>
            <w:tcW w:w="2112" w:type="pct"/>
            <w:gridSpan w:val="3"/>
            <w:vAlign w:val="center"/>
          </w:tcPr>
          <w:p w:rsidR="008342DD" w:rsidRPr="008342DD" w:rsidRDefault="008342DD" w:rsidP="008342DD">
            <w:pPr>
              <w:pStyle w:val="BodyText"/>
              <w:jc w:val="center"/>
              <w:rPr>
                <w:b/>
              </w:rPr>
            </w:pPr>
            <w:r w:rsidRPr="008342DD">
              <w:rPr>
                <w:b/>
              </w:rPr>
              <w:t>Assessment</w:t>
            </w:r>
          </w:p>
        </w:tc>
      </w:tr>
      <w:tr w:rsidR="004012E8" w:rsidRPr="007A395D" w:rsidTr="00CA35CB">
        <w:trPr>
          <w:trHeight w:val="113"/>
        </w:trPr>
        <w:tc>
          <w:tcPr>
            <w:tcW w:w="538" w:type="pct"/>
            <w:vAlign w:val="center"/>
          </w:tcPr>
          <w:p w:rsidR="008342DD" w:rsidRPr="008342DD" w:rsidRDefault="008342DD" w:rsidP="00CA35CB">
            <w:pPr>
              <w:pStyle w:val="BodyText"/>
              <w:spacing w:before="100" w:beforeAutospacing="1" w:after="100" w:afterAutospacing="1"/>
              <w:jc w:val="center"/>
            </w:pPr>
            <w:r w:rsidRPr="008342DD">
              <w:t>INF</w:t>
            </w:r>
          </w:p>
        </w:tc>
        <w:tc>
          <w:tcPr>
            <w:tcW w:w="1175" w:type="pct"/>
            <w:vAlign w:val="center"/>
          </w:tcPr>
          <w:p w:rsidR="008342DD" w:rsidRPr="008342DD" w:rsidRDefault="008342DD" w:rsidP="00CA35CB">
            <w:pPr>
              <w:pStyle w:val="BodyText"/>
              <w:spacing w:before="100" w:beforeAutospacing="1" w:after="100" w:afterAutospacing="1"/>
              <w:jc w:val="center"/>
            </w:pPr>
            <w:r w:rsidRPr="008342DD">
              <w:t>Infrastructure at site</w:t>
            </w:r>
          </w:p>
        </w:tc>
        <w:tc>
          <w:tcPr>
            <w:tcW w:w="1175" w:type="pct"/>
            <w:vAlign w:val="center"/>
          </w:tcPr>
          <w:p w:rsidR="008342DD" w:rsidRPr="008342DD" w:rsidRDefault="008342DD" w:rsidP="00CA35CB">
            <w:pPr>
              <w:pStyle w:val="BodyText"/>
              <w:spacing w:before="100" w:beforeAutospacing="1" w:after="100" w:afterAutospacing="1"/>
              <w:jc w:val="center"/>
            </w:pPr>
            <w:r w:rsidRPr="008342DD">
              <w:rPr>
                <w:lang w:val="en-US"/>
              </w:rPr>
              <w:t>2 RS + 2 IM (with MF Rx)</w:t>
            </w:r>
          </w:p>
        </w:tc>
        <w:tc>
          <w:tcPr>
            <w:tcW w:w="700" w:type="pct"/>
            <w:shd w:val="clear" w:color="auto" w:fill="00B050"/>
            <w:vAlign w:val="center"/>
          </w:tcPr>
          <w:p w:rsidR="008342DD" w:rsidRPr="004012E8" w:rsidRDefault="008342DD" w:rsidP="00CA35CB">
            <w:pPr>
              <w:spacing w:before="100" w:beforeAutospacing="1" w:after="100" w:afterAutospacing="1"/>
              <w:jc w:val="center"/>
              <w:rPr>
                <w:rFonts w:asciiTheme="minorHAnsi" w:hAnsiTheme="minorHAnsi"/>
                <w:lang w:val="en-US"/>
              </w:rPr>
            </w:pPr>
            <w:r w:rsidRPr="008342DD">
              <w:rPr>
                <w:rFonts w:asciiTheme="minorHAnsi" w:hAnsiTheme="minorHAnsi"/>
                <w:lang w:val="en-US"/>
              </w:rPr>
              <w:t>Reduced infrastructure</w:t>
            </w:r>
          </w:p>
        </w:tc>
        <w:tc>
          <w:tcPr>
            <w:tcW w:w="700" w:type="pct"/>
            <w:vAlign w:val="center"/>
          </w:tcPr>
          <w:p w:rsidR="008342DD" w:rsidRPr="008342DD" w:rsidRDefault="008342DD" w:rsidP="00CA35CB">
            <w:pPr>
              <w:spacing w:before="100" w:beforeAutospacing="1" w:after="100" w:afterAutospacing="1"/>
              <w:jc w:val="center"/>
              <w:rPr>
                <w:rFonts w:asciiTheme="minorHAnsi" w:hAnsiTheme="minorHAnsi"/>
              </w:rPr>
            </w:pPr>
            <w:r w:rsidRPr="008342DD">
              <w:rPr>
                <w:rFonts w:asciiTheme="minorHAnsi" w:hAnsiTheme="minorHAnsi"/>
                <w:lang w:val="en-US"/>
              </w:rPr>
              <w:t>Similar infrastructure</w:t>
            </w:r>
          </w:p>
        </w:tc>
        <w:tc>
          <w:tcPr>
            <w:tcW w:w="712" w:type="pct"/>
            <w:shd w:val="clear" w:color="auto" w:fill="FF0000"/>
            <w:vAlign w:val="center"/>
          </w:tcPr>
          <w:p w:rsidR="008342DD" w:rsidRPr="008342DD" w:rsidRDefault="008342DD" w:rsidP="00CA35CB">
            <w:pPr>
              <w:spacing w:before="100" w:beforeAutospacing="1" w:after="100" w:afterAutospacing="1"/>
              <w:jc w:val="center"/>
              <w:rPr>
                <w:rFonts w:asciiTheme="minorHAnsi" w:hAnsiTheme="minorHAnsi"/>
              </w:rPr>
            </w:pPr>
            <w:r w:rsidRPr="008342DD">
              <w:rPr>
                <w:rFonts w:asciiTheme="minorHAnsi" w:hAnsiTheme="minorHAnsi"/>
                <w:lang w:val="en-US"/>
              </w:rPr>
              <w:t>Additional infrastructure</w:t>
            </w:r>
          </w:p>
        </w:tc>
      </w:tr>
      <w:tr w:rsidR="004012E8" w:rsidRPr="007A395D" w:rsidTr="00CA35CB">
        <w:trPr>
          <w:trHeight w:val="113"/>
        </w:trPr>
        <w:tc>
          <w:tcPr>
            <w:tcW w:w="538" w:type="pct"/>
            <w:vAlign w:val="center"/>
          </w:tcPr>
          <w:p w:rsidR="008342DD" w:rsidRPr="008342DD" w:rsidRDefault="008342DD" w:rsidP="00CA35CB">
            <w:pPr>
              <w:pStyle w:val="BodyText"/>
              <w:spacing w:before="100" w:beforeAutospacing="1" w:after="100" w:afterAutospacing="1"/>
              <w:jc w:val="center"/>
            </w:pPr>
            <w:r w:rsidRPr="008342DD">
              <w:rPr>
                <w:b/>
                <w:bCs/>
                <w:color w:val="FF0000"/>
              </w:rPr>
              <w:t>LEG</w:t>
            </w:r>
          </w:p>
        </w:tc>
        <w:tc>
          <w:tcPr>
            <w:tcW w:w="1175" w:type="pct"/>
            <w:vAlign w:val="center"/>
          </w:tcPr>
          <w:p w:rsidR="008342DD" w:rsidRPr="008342DD" w:rsidRDefault="008342DD" w:rsidP="00CA35CB">
            <w:pPr>
              <w:pStyle w:val="BodyText"/>
              <w:spacing w:before="100" w:beforeAutospacing="1" w:after="100" w:afterAutospacing="1"/>
            </w:pPr>
            <w:r w:rsidRPr="008342DD">
              <w:rPr>
                <w:b/>
                <w:bCs/>
                <w:color w:val="FF0000"/>
              </w:rPr>
              <w:t>Legacy receivers compatibility</w:t>
            </w:r>
          </w:p>
        </w:tc>
        <w:tc>
          <w:tcPr>
            <w:tcW w:w="1175" w:type="pct"/>
            <w:vAlign w:val="center"/>
          </w:tcPr>
          <w:p w:rsidR="008342DD" w:rsidRPr="008342DD" w:rsidRDefault="008342DD" w:rsidP="00CA35CB">
            <w:pPr>
              <w:pStyle w:val="BodyText"/>
              <w:spacing w:before="100" w:beforeAutospacing="1" w:after="100" w:afterAutospacing="1"/>
            </w:pPr>
            <w:r w:rsidRPr="008342DD">
              <w:rPr>
                <w:b/>
                <w:bCs/>
                <w:color w:val="FF0000"/>
              </w:rPr>
              <w:t>Yes (corrections provided in RTCM format)</w:t>
            </w:r>
          </w:p>
        </w:tc>
        <w:tc>
          <w:tcPr>
            <w:tcW w:w="700" w:type="pct"/>
            <w:shd w:val="clear" w:color="auto" w:fill="00B050"/>
            <w:vAlign w:val="center"/>
          </w:tcPr>
          <w:p w:rsidR="008342DD" w:rsidRPr="008342DD" w:rsidRDefault="008342DD" w:rsidP="00CA35CB">
            <w:pPr>
              <w:pStyle w:val="BodyText"/>
              <w:spacing w:before="100" w:beforeAutospacing="1" w:after="100" w:afterAutospacing="1"/>
              <w:jc w:val="center"/>
            </w:pPr>
            <w:r w:rsidRPr="008342DD">
              <w:rPr>
                <w:b/>
                <w:bCs/>
                <w:lang w:val="en-US"/>
              </w:rPr>
              <w:t>N/A</w:t>
            </w:r>
          </w:p>
        </w:tc>
        <w:tc>
          <w:tcPr>
            <w:tcW w:w="700" w:type="pct"/>
            <w:vAlign w:val="center"/>
          </w:tcPr>
          <w:p w:rsidR="008342DD" w:rsidRPr="008342DD" w:rsidRDefault="008342DD" w:rsidP="00CA35CB">
            <w:pPr>
              <w:spacing w:before="100" w:beforeAutospacing="1" w:after="100" w:afterAutospacing="1"/>
              <w:jc w:val="center"/>
              <w:rPr>
                <w:rFonts w:asciiTheme="minorHAnsi" w:hAnsiTheme="minorHAnsi"/>
              </w:rPr>
            </w:pPr>
            <w:r w:rsidRPr="008342DD">
              <w:rPr>
                <w:rFonts w:asciiTheme="minorHAnsi" w:hAnsiTheme="minorHAnsi"/>
                <w:b/>
                <w:bCs/>
                <w:lang w:val="en-US"/>
              </w:rPr>
              <w:t>Yes</w:t>
            </w:r>
          </w:p>
        </w:tc>
        <w:tc>
          <w:tcPr>
            <w:tcW w:w="712" w:type="pct"/>
            <w:shd w:val="clear" w:color="auto" w:fill="FF0000"/>
            <w:vAlign w:val="center"/>
          </w:tcPr>
          <w:p w:rsidR="008342DD" w:rsidRPr="008342DD" w:rsidRDefault="008342DD" w:rsidP="00CA35CB">
            <w:pPr>
              <w:spacing w:before="100" w:beforeAutospacing="1" w:after="100" w:afterAutospacing="1"/>
              <w:jc w:val="center"/>
              <w:rPr>
                <w:rFonts w:asciiTheme="minorHAnsi" w:hAnsiTheme="minorHAnsi"/>
              </w:rPr>
            </w:pPr>
            <w:r w:rsidRPr="008342DD">
              <w:rPr>
                <w:rFonts w:asciiTheme="minorHAnsi" w:hAnsiTheme="minorHAnsi"/>
                <w:b/>
                <w:bCs/>
                <w:lang w:val="en-US"/>
              </w:rPr>
              <w:t>No</w:t>
            </w:r>
          </w:p>
        </w:tc>
      </w:tr>
      <w:tr w:rsidR="004012E8" w:rsidRPr="007A395D" w:rsidTr="00CA35CB">
        <w:trPr>
          <w:trHeight w:val="113"/>
        </w:trPr>
        <w:tc>
          <w:tcPr>
            <w:tcW w:w="538" w:type="pct"/>
            <w:vAlign w:val="center"/>
          </w:tcPr>
          <w:p w:rsidR="008342DD" w:rsidRPr="008342DD" w:rsidRDefault="008342DD" w:rsidP="00CA35CB">
            <w:pPr>
              <w:pStyle w:val="BodyText"/>
              <w:spacing w:before="100" w:beforeAutospacing="1" w:after="100" w:afterAutospacing="1"/>
              <w:jc w:val="center"/>
              <w:rPr>
                <w:b/>
                <w:bCs/>
                <w:color w:val="FF0000"/>
              </w:rPr>
            </w:pPr>
            <w:r w:rsidRPr="008342DD">
              <w:rPr>
                <w:b/>
                <w:bCs/>
                <w:color w:val="FF0000"/>
              </w:rPr>
              <w:t>IM</w:t>
            </w:r>
          </w:p>
        </w:tc>
        <w:tc>
          <w:tcPr>
            <w:tcW w:w="1175" w:type="pct"/>
            <w:vAlign w:val="center"/>
          </w:tcPr>
          <w:p w:rsidR="008342DD" w:rsidRPr="008342DD" w:rsidRDefault="008342DD" w:rsidP="00CA35CB">
            <w:pPr>
              <w:pStyle w:val="BodyText"/>
              <w:spacing w:before="100" w:beforeAutospacing="1" w:after="100" w:afterAutospacing="1"/>
              <w:rPr>
                <w:b/>
                <w:bCs/>
                <w:color w:val="FF0000"/>
              </w:rPr>
            </w:pPr>
            <w:r w:rsidRPr="008342DD">
              <w:rPr>
                <w:b/>
                <w:bCs/>
                <w:color w:val="FF0000"/>
              </w:rPr>
              <w:t>Integrity monitoring</w:t>
            </w:r>
          </w:p>
        </w:tc>
        <w:tc>
          <w:tcPr>
            <w:tcW w:w="1175" w:type="pct"/>
            <w:vAlign w:val="center"/>
          </w:tcPr>
          <w:p w:rsidR="008342DD" w:rsidRPr="008342DD" w:rsidRDefault="008342DD" w:rsidP="00CA35CB">
            <w:pPr>
              <w:pStyle w:val="BodyText"/>
              <w:spacing w:before="100" w:beforeAutospacing="1" w:after="100" w:afterAutospacing="1"/>
              <w:rPr>
                <w:b/>
                <w:bCs/>
                <w:color w:val="FF0000"/>
              </w:rPr>
            </w:pPr>
            <w:r w:rsidRPr="008342DD">
              <w:rPr>
                <w:b/>
                <w:bCs/>
                <w:color w:val="FF0000"/>
              </w:rPr>
              <w:t>Yes</w:t>
            </w:r>
          </w:p>
        </w:tc>
        <w:tc>
          <w:tcPr>
            <w:tcW w:w="700" w:type="pct"/>
            <w:shd w:val="clear" w:color="auto" w:fill="00B050"/>
            <w:vAlign w:val="center"/>
          </w:tcPr>
          <w:p w:rsidR="008342DD" w:rsidRPr="008342DD" w:rsidRDefault="008342DD" w:rsidP="00CA35CB">
            <w:pPr>
              <w:pStyle w:val="BodyText"/>
              <w:spacing w:before="100" w:beforeAutospacing="1" w:after="100" w:afterAutospacing="1"/>
              <w:jc w:val="center"/>
              <w:rPr>
                <w:b/>
                <w:bCs/>
                <w:lang w:val="en-US"/>
              </w:rPr>
            </w:pPr>
            <w:r w:rsidRPr="008342DD">
              <w:rPr>
                <w:b/>
                <w:bCs/>
                <w:lang w:val="en-US"/>
              </w:rPr>
              <w:t>Additional Integrity check</w:t>
            </w:r>
          </w:p>
        </w:tc>
        <w:tc>
          <w:tcPr>
            <w:tcW w:w="700" w:type="pct"/>
            <w:vAlign w:val="center"/>
          </w:tcPr>
          <w:p w:rsidR="008342DD" w:rsidRPr="008342DD" w:rsidRDefault="008342DD" w:rsidP="00CA35CB">
            <w:pPr>
              <w:spacing w:before="100" w:beforeAutospacing="1" w:after="100" w:afterAutospacing="1"/>
              <w:jc w:val="center"/>
              <w:rPr>
                <w:rFonts w:asciiTheme="minorHAnsi" w:hAnsiTheme="minorHAnsi"/>
                <w:b/>
                <w:bCs/>
                <w:lang w:val="en-US"/>
              </w:rPr>
            </w:pPr>
            <w:r w:rsidRPr="008342DD">
              <w:rPr>
                <w:rFonts w:asciiTheme="minorHAnsi" w:hAnsiTheme="minorHAnsi"/>
                <w:b/>
                <w:bCs/>
                <w:lang w:val="en-US"/>
              </w:rPr>
              <w:t>Yes</w:t>
            </w:r>
          </w:p>
        </w:tc>
        <w:tc>
          <w:tcPr>
            <w:tcW w:w="712" w:type="pct"/>
            <w:shd w:val="clear" w:color="auto" w:fill="FF0000"/>
            <w:vAlign w:val="center"/>
          </w:tcPr>
          <w:p w:rsidR="008342DD" w:rsidRPr="008342DD" w:rsidRDefault="008342DD" w:rsidP="00CA35CB">
            <w:pPr>
              <w:spacing w:before="100" w:beforeAutospacing="1" w:after="100" w:afterAutospacing="1"/>
              <w:jc w:val="center"/>
              <w:rPr>
                <w:rFonts w:asciiTheme="minorHAnsi" w:hAnsiTheme="minorHAnsi"/>
                <w:b/>
                <w:bCs/>
                <w:lang w:val="en-US"/>
              </w:rPr>
            </w:pPr>
            <w:r w:rsidRPr="008342DD">
              <w:rPr>
                <w:rFonts w:asciiTheme="minorHAnsi" w:hAnsiTheme="minorHAnsi"/>
                <w:b/>
                <w:bCs/>
                <w:lang w:val="en-US"/>
              </w:rPr>
              <w:t>No</w:t>
            </w:r>
          </w:p>
        </w:tc>
      </w:tr>
      <w:tr w:rsidR="004012E8" w:rsidRPr="007A395D" w:rsidTr="00CA35CB">
        <w:trPr>
          <w:trHeight w:val="113"/>
        </w:trPr>
        <w:tc>
          <w:tcPr>
            <w:tcW w:w="538" w:type="pct"/>
            <w:vAlign w:val="center"/>
          </w:tcPr>
          <w:p w:rsidR="008342DD" w:rsidRPr="008342DD" w:rsidRDefault="008342DD" w:rsidP="00CA35CB">
            <w:pPr>
              <w:pStyle w:val="BodyText"/>
              <w:spacing w:before="100" w:beforeAutospacing="1" w:after="100" w:afterAutospacing="1"/>
              <w:jc w:val="center"/>
              <w:rPr>
                <w:bCs/>
              </w:rPr>
            </w:pPr>
            <w:r w:rsidRPr="008342DD">
              <w:t>LOC</w:t>
            </w:r>
          </w:p>
        </w:tc>
        <w:tc>
          <w:tcPr>
            <w:tcW w:w="1175" w:type="pct"/>
            <w:vAlign w:val="center"/>
          </w:tcPr>
          <w:p w:rsidR="008342DD" w:rsidRPr="008342DD" w:rsidRDefault="008342DD" w:rsidP="00CA35CB">
            <w:pPr>
              <w:pStyle w:val="BodyText"/>
              <w:spacing w:before="100" w:beforeAutospacing="1" w:after="100" w:afterAutospacing="1"/>
              <w:rPr>
                <w:bCs/>
              </w:rPr>
            </w:pPr>
            <w:r w:rsidRPr="008342DD">
              <w:t>Local effects impact corrections</w:t>
            </w:r>
          </w:p>
        </w:tc>
        <w:tc>
          <w:tcPr>
            <w:tcW w:w="1175" w:type="pct"/>
            <w:vAlign w:val="center"/>
          </w:tcPr>
          <w:p w:rsidR="008342DD" w:rsidRPr="008342DD" w:rsidRDefault="008342DD" w:rsidP="00CA35CB">
            <w:pPr>
              <w:pStyle w:val="BodyText"/>
              <w:spacing w:before="100" w:beforeAutospacing="1" w:after="100" w:afterAutospacing="1"/>
              <w:rPr>
                <w:bCs/>
              </w:rPr>
            </w:pPr>
            <w:r w:rsidRPr="008342DD">
              <w:t>Yes</w:t>
            </w:r>
          </w:p>
        </w:tc>
        <w:tc>
          <w:tcPr>
            <w:tcW w:w="700" w:type="pct"/>
            <w:shd w:val="clear" w:color="auto" w:fill="00B050"/>
            <w:vAlign w:val="center"/>
          </w:tcPr>
          <w:p w:rsidR="008342DD" w:rsidRPr="008342DD" w:rsidRDefault="008342DD" w:rsidP="00CA35CB">
            <w:pPr>
              <w:pStyle w:val="BodyText"/>
              <w:spacing w:before="100" w:beforeAutospacing="1" w:after="100" w:afterAutospacing="1"/>
              <w:jc w:val="center"/>
              <w:rPr>
                <w:bCs/>
                <w:lang w:val="en-US"/>
              </w:rPr>
            </w:pPr>
            <w:r w:rsidRPr="008342DD">
              <w:t>No</w:t>
            </w:r>
          </w:p>
        </w:tc>
        <w:tc>
          <w:tcPr>
            <w:tcW w:w="700" w:type="pct"/>
            <w:vAlign w:val="center"/>
          </w:tcPr>
          <w:p w:rsidR="008342DD" w:rsidRPr="008342DD" w:rsidRDefault="008342DD" w:rsidP="00CA35CB">
            <w:pPr>
              <w:spacing w:before="100" w:beforeAutospacing="1" w:after="100" w:afterAutospacing="1"/>
              <w:jc w:val="center"/>
              <w:rPr>
                <w:rFonts w:asciiTheme="minorHAnsi" w:hAnsiTheme="minorHAnsi"/>
                <w:bCs/>
                <w:lang w:val="en-US"/>
              </w:rPr>
            </w:pPr>
            <w:r w:rsidRPr="008342DD">
              <w:rPr>
                <w:rFonts w:asciiTheme="minorHAnsi" w:hAnsiTheme="minorHAnsi"/>
              </w:rPr>
              <w:t>Yes</w:t>
            </w:r>
          </w:p>
        </w:tc>
        <w:tc>
          <w:tcPr>
            <w:tcW w:w="712" w:type="pct"/>
            <w:shd w:val="clear" w:color="auto" w:fill="FF0000"/>
            <w:vAlign w:val="center"/>
          </w:tcPr>
          <w:p w:rsidR="008342DD" w:rsidRPr="008342DD" w:rsidRDefault="008342DD" w:rsidP="00CA35CB">
            <w:pPr>
              <w:spacing w:before="100" w:beforeAutospacing="1" w:after="100" w:afterAutospacing="1"/>
              <w:jc w:val="center"/>
              <w:rPr>
                <w:rFonts w:asciiTheme="minorHAnsi" w:hAnsiTheme="minorHAnsi"/>
                <w:bCs/>
                <w:lang w:val="en-US"/>
              </w:rPr>
            </w:pPr>
            <w:r w:rsidRPr="008342DD">
              <w:rPr>
                <w:rFonts w:asciiTheme="minorHAnsi" w:hAnsiTheme="minorHAnsi"/>
              </w:rPr>
              <w:t>N/A</w:t>
            </w:r>
          </w:p>
        </w:tc>
      </w:tr>
      <w:tr w:rsidR="004012E8" w:rsidRPr="007A395D" w:rsidTr="00CA35CB">
        <w:trPr>
          <w:trHeight w:val="113"/>
        </w:trPr>
        <w:tc>
          <w:tcPr>
            <w:tcW w:w="538" w:type="pct"/>
            <w:vAlign w:val="center"/>
          </w:tcPr>
          <w:p w:rsidR="008342DD" w:rsidRPr="008342DD" w:rsidRDefault="008342DD" w:rsidP="00CA35CB">
            <w:pPr>
              <w:pStyle w:val="BodyText"/>
              <w:spacing w:before="100" w:beforeAutospacing="1" w:after="100" w:afterAutospacing="1"/>
              <w:jc w:val="center"/>
            </w:pPr>
            <w:r w:rsidRPr="008342DD">
              <w:t>IND (*)</w:t>
            </w:r>
          </w:p>
        </w:tc>
        <w:tc>
          <w:tcPr>
            <w:tcW w:w="1175" w:type="pct"/>
            <w:vAlign w:val="center"/>
          </w:tcPr>
          <w:p w:rsidR="008342DD" w:rsidRPr="008342DD" w:rsidRDefault="008342DD" w:rsidP="00CA35CB">
            <w:pPr>
              <w:pStyle w:val="BodyText"/>
              <w:spacing w:before="100" w:beforeAutospacing="1" w:after="100" w:afterAutospacing="1"/>
            </w:pPr>
            <w:r w:rsidRPr="008342DD">
              <w:t>Independence of corrections generation  vs</w:t>
            </w:r>
            <w:r w:rsidRPr="008342DD">
              <w:rPr>
                <w:bCs/>
                <w:lang w:val="en-US"/>
              </w:rPr>
              <w:t xml:space="preserve"> integrity check</w:t>
            </w:r>
          </w:p>
        </w:tc>
        <w:tc>
          <w:tcPr>
            <w:tcW w:w="1175" w:type="pct"/>
            <w:vAlign w:val="center"/>
          </w:tcPr>
          <w:p w:rsidR="008342DD" w:rsidRPr="008342DD" w:rsidRDefault="008342DD" w:rsidP="00CA35CB">
            <w:pPr>
              <w:pStyle w:val="BodyText"/>
              <w:spacing w:before="100" w:beforeAutospacing="1" w:after="100" w:afterAutospacing="1"/>
            </w:pPr>
            <w:r w:rsidRPr="008342DD">
              <w:rPr>
                <w:bCs/>
                <w:lang w:val="en-US"/>
              </w:rPr>
              <w:t>Yes</w:t>
            </w:r>
          </w:p>
        </w:tc>
        <w:tc>
          <w:tcPr>
            <w:tcW w:w="700" w:type="pct"/>
            <w:shd w:val="clear" w:color="auto" w:fill="00B050"/>
            <w:vAlign w:val="center"/>
          </w:tcPr>
          <w:p w:rsidR="008342DD" w:rsidRPr="008342DD" w:rsidRDefault="008342DD" w:rsidP="00CA35CB">
            <w:pPr>
              <w:pStyle w:val="BodyText"/>
              <w:spacing w:before="100" w:beforeAutospacing="1" w:after="100" w:afterAutospacing="1"/>
              <w:jc w:val="center"/>
            </w:pPr>
            <w:r w:rsidRPr="008342DD">
              <w:rPr>
                <w:bCs/>
                <w:lang w:val="en-US"/>
              </w:rPr>
              <w:t>N/A</w:t>
            </w:r>
          </w:p>
        </w:tc>
        <w:tc>
          <w:tcPr>
            <w:tcW w:w="700" w:type="pct"/>
            <w:vAlign w:val="center"/>
          </w:tcPr>
          <w:p w:rsidR="008342DD" w:rsidRPr="008342DD" w:rsidRDefault="008342DD" w:rsidP="00CA35CB">
            <w:pPr>
              <w:spacing w:before="100" w:beforeAutospacing="1" w:after="100" w:afterAutospacing="1"/>
              <w:jc w:val="center"/>
              <w:rPr>
                <w:rFonts w:asciiTheme="minorHAnsi" w:hAnsiTheme="minorHAnsi"/>
              </w:rPr>
            </w:pPr>
            <w:r w:rsidRPr="008342DD">
              <w:rPr>
                <w:rFonts w:asciiTheme="minorHAnsi" w:hAnsiTheme="minorHAnsi"/>
                <w:bCs/>
                <w:lang w:val="en-US"/>
              </w:rPr>
              <w:t>Yes</w:t>
            </w:r>
          </w:p>
        </w:tc>
        <w:tc>
          <w:tcPr>
            <w:tcW w:w="712" w:type="pct"/>
            <w:shd w:val="clear" w:color="auto" w:fill="FF0000"/>
            <w:vAlign w:val="center"/>
          </w:tcPr>
          <w:p w:rsidR="008342DD" w:rsidRPr="008342DD" w:rsidRDefault="008342DD" w:rsidP="00CA35CB">
            <w:pPr>
              <w:spacing w:before="100" w:beforeAutospacing="1" w:after="100" w:afterAutospacing="1"/>
              <w:jc w:val="center"/>
              <w:rPr>
                <w:rFonts w:asciiTheme="minorHAnsi" w:hAnsiTheme="minorHAnsi"/>
              </w:rPr>
            </w:pPr>
            <w:r w:rsidRPr="008342DD">
              <w:rPr>
                <w:rFonts w:asciiTheme="minorHAnsi" w:hAnsiTheme="minorHAnsi"/>
                <w:bCs/>
                <w:lang w:val="en-US"/>
              </w:rPr>
              <w:t>No</w:t>
            </w:r>
          </w:p>
        </w:tc>
      </w:tr>
      <w:tr w:rsidR="004012E8" w:rsidRPr="007A395D" w:rsidTr="00CA35CB">
        <w:trPr>
          <w:trHeight w:val="113"/>
        </w:trPr>
        <w:tc>
          <w:tcPr>
            <w:tcW w:w="538" w:type="pct"/>
            <w:vAlign w:val="center"/>
          </w:tcPr>
          <w:p w:rsidR="008342DD" w:rsidRPr="008342DD" w:rsidRDefault="008342DD" w:rsidP="00CA35CB">
            <w:pPr>
              <w:pStyle w:val="BodyText"/>
              <w:spacing w:before="100" w:beforeAutospacing="1" w:after="100" w:afterAutospacing="1"/>
              <w:jc w:val="center"/>
            </w:pPr>
            <w:r w:rsidRPr="008342DD">
              <w:rPr>
                <w:lang w:val="en-US"/>
              </w:rPr>
              <w:t>COM</w:t>
            </w:r>
          </w:p>
        </w:tc>
        <w:tc>
          <w:tcPr>
            <w:tcW w:w="1175" w:type="pct"/>
            <w:vAlign w:val="center"/>
          </w:tcPr>
          <w:p w:rsidR="008342DD" w:rsidRPr="008342DD" w:rsidRDefault="008342DD" w:rsidP="00CA35CB">
            <w:pPr>
              <w:pStyle w:val="BodyText"/>
              <w:spacing w:before="100" w:beforeAutospacing="1" w:after="100" w:afterAutospacing="1"/>
            </w:pPr>
            <w:r w:rsidRPr="008342DD">
              <w:rPr>
                <w:lang w:val="en-US"/>
              </w:rPr>
              <w:t>Communication lines</w:t>
            </w:r>
          </w:p>
        </w:tc>
        <w:tc>
          <w:tcPr>
            <w:tcW w:w="1175" w:type="pct"/>
            <w:vAlign w:val="center"/>
          </w:tcPr>
          <w:p w:rsidR="008342DD" w:rsidRPr="008342DD" w:rsidRDefault="008342DD" w:rsidP="00CA35CB">
            <w:pPr>
              <w:pStyle w:val="BodyText"/>
              <w:spacing w:before="100" w:beforeAutospacing="1" w:after="100" w:afterAutospacing="1"/>
              <w:rPr>
                <w:bCs/>
                <w:lang w:val="en-US"/>
              </w:rPr>
            </w:pPr>
            <w:r w:rsidRPr="008342DD">
              <w:rPr>
                <w:lang w:val="en-US"/>
              </w:rPr>
              <w:t>Standard communication lines (to connect the RS &amp; IM to the remote CS)</w:t>
            </w:r>
          </w:p>
        </w:tc>
        <w:tc>
          <w:tcPr>
            <w:tcW w:w="700" w:type="pct"/>
            <w:shd w:val="clear" w:color="auto" w:fill="00B050"/>
            <w:vAlign w:val="center"/>
          </w:tcPr>
          <w:p w:rsidR="008342DD" w:rsidRPr="008342DD" w:rsidRDefault="008342DD" w:rsidP="00CA35CB">
            <w:pPr>
              <w:pStyle w:val="BodyText"/>
              <w:spacing w:before="100" w:beforeAutospacing="1" w:after="100" w:afterAutospacing="1"/>
              <w:jc w:val="center"/>
              <w:rPr>
                <w:bCs/>
                <w:lang w:val="en-US"/>
              </w:rPr>
            </w:pPr>
            <w:r w:rsidRPr="008342DD">
              <w:rPr>
                <w:lang w:val="en-US"/>
              </w:rPr>
              <w:t>No communication lines</w:t>
            </w:r>
          </w:p>
        </w:tc>
        <w:tc>
          <w:tcPr>
            <w:tcW w:w="700" w:type="pct"/>
            <w:vAlign w:val="center"/>
          </w:tcPr>
          <w:p w:rsidR="008342DD" w:rsidRPr="008342DD" w:rsidRDefault="008342DD" w:rsidP="00CA35CB">
            <w:pPr>
              <w:spacing w:before="100" w:beforeAutospacing="1" w:after="100" w:afterAutospacing="1"/>
              <w:jc w:val="center"/>
              <w:rPr>
                <w:rFonts w:asciiTheme="minorHAnsi" w:hAnsiTheme="minorHAnsi"/>
                <w:bCs/>
                <w:lang w:val="en-US"/>
              </w:rPr>
            </w:pPr>
            <w:r w:rsidRPr="008342DD">
              <w:rPr>
                <w:rFonts w:asciiTheme="minorHAnsi" w:hAnsiTheme="minorHAnsi"/>
                <w:lang w:val="en-US"/>
              </w:rPr>
              <w:t>Standard communication lines</w:t>
            </w:r>
          </w:p>
        </w:tc>
        <w:tc>
          <w:tcPr>
            <w:tcW w:w="712" w:type="pct"/>
            <w:shd w:val="clear" w:color="auto" w:fill="FF0000"/>
            <w:vAlign w:val="center"/>
          </w:tcPr>
          <w:p w:rsidR="008342DD" w:rsidRPr="008342DD" w:rsidRDefault="008342DD" w:rsidP="00CA35CB">
            <w:pPr>
              <w:spacing w:before="100" w:beforeAutospacing="1" w:after="100" w:afterAutospacing="1"/>
              <w:jc w:val="center"/>
              <w:rPr>
                <w:rFonts w:asciiTheme="minorHAnsi" w:hAnsiTheme="minorHAnsi"/>
                <w:bCs/>
                <w:lang w:val="en-US"/>
              </w:rPr>
            </w:pPr>
            <w:r w:rsidRPr="008342DD">
              <w:rPr>
                <w:rFonts w:asciiTheme="minorHAnsi" w:hAnsiTheme="minorHAnsi"/>
                <w:lang w:val="en-US"/>
              </w:rPr>
              <w:t>High availability communication lines</w:t>
            </w:r>
          </w:p>
        </w:tc>
      </w:tr>
      <w:tr w:rsidR="004012E8" w:rsidRPr="007A395D" w:rsidTr="00CA35CB">
        <w:trPr>
          <w:trHeight w:val="113"/>
        </w:trPr>
        <w:tc>
          <w:tcPr>
            <w:tcW w:w="538" w:type="pct"/>
            <w:vAlign w:val="center"/>
          </w:tcPr>
          <w:p w:rsidR="008342DD" w:rsidRPr="008342DD" w:rsidRDefault="008342DD" w:rsidP="00CA35CB">
            <w:pPr>
              <w:pStyle w:val="BodyText"/>
              <w:spacing w:before="100" w:beforeAutospacing="1" w:after="100" w:afterAutospacing="1"/>
              <w:jc w:val="center"/>
              <w:rPr>
                <w:lang w:val="en-US"/>
              </w:rPr>
            </w:pPr>
            <w:r w:rsidRPr="008342DD">
              <w:rPr>
                <w:lang w:val="en-US"/>
              </w:rPr>
              <w:t xml:space="preserve">MF </w:t>
            </w:r>
            <w:r w:rsidRPr="008342DD">
              <w:t>(*)</w:t>
            </w:r>
          </w:p>
        </w:tc>
        <w:tc>
          <w:tcPr>
            <w:tcW w:w="1175" w:type="pct"/>
            <w:vAlign w:val="center"/>
          </w:tcPr>
          <w:p w:rsidR="008342DD" w:rsidRPr="008342DD" w:rsidRDefault="008342DD" w:rsidP="00CA35CB">
            <w:pPr>
              <w:pStyle w:val="BodyText"/>
              <w:spacing w:before="100" w:beforeAutospacing="1" w:after="100" w:afterAutospacing="1"/>
              <w:rPr>
                <w:lang w:val="en-US"/>
              </w:rPr>
            </w:pPr>
            <w:r w:rsidRPr="008342DD">
              <w:rPr>
                <w:lang w:val="en-US"/>
              </w:rPr>
              <w:t>MF link monitoring</w:t>
            </w:r>
          </w:p>
        </w:tc>
        <w:tc>
          <w:tcPr>
            <w:tcW w:w="1175" w:type="pct"/>
            <w:vAlign w:val="center"/>
          </w:tcPr>
          <w:p w:rsidR="008342DD" w:rsidRPr="008342DD" w:rsidRDefault="008342DD" w:rsidP="00CA35CB">
            <w:pPr>
              <w:pStyle w:val="BodyText"/>
              <w:spacing w:before="100" w:beforeAutospacing="1" w:after="100" w:afterAutospacing="1"/>
              <w:rPr>
                <w:lang w:val="en-US"/>
              </w:rPr>
            </w:pPr>
            <w:r w:rsidRPr="008342DD">
              <w:rPr>
                <w:lang w:val="en-US"/>
              </w:rPr>
              <w:t>Yes</w:t>
            </w:r>
          </w:p>
        </w:tc>
        <w:tc>
          <w:tcPr>
            <w:tcW w:w="700" w:type="pct"/>
            <w:shd w:val="clear" w:color="auto" w:fill="00B050"/>
            <w:vAlign w:val="center"/>
          </w:tcPr>
          <w:p w:rsidR="008342DD" w:rsidRPr="008342DD" w:rsidRDefault="008342DD" w:rsidP="00CA35CB">
            <w:pPr>
              <w:pStyle w:val="BodyText"/>
              <w:spacing w:before="100" w:beforeAutospacing="1" w:after="100" w:afterAutospacing="1"/>
              <w:jc w:val="center"/>
              <w:rPr>
                <w:lang w:val="en-US"/>
              </w:rPr>
            </w:pPr>
            <w:r w:rsidRPr="008342DD">
              <w:rPr>
                <w:lang w:val="en-US"/>
              </w:rPr>
              <w:t>N/A</w:t>
            </w:r>
          </w:p>
        </w:tc>
        <w:tc>
          <w:tcPr>
            <w:tcW w:w="700" w:type="pct"/>
            <w:vAlign w:val="center"/>
          </w:tcPr>
          <w:p w:rsidR="008342DD" w:rsidRPr="008342DD" w:rsidRDefault="008342DD" w:rsidP="00CA35CB">
            <w:pPr>
              <w:spacing w:before="100" w:beforeAutospacing="1" w:after="100" w:afterAutospacing="1"/>
              <w:jc w:val="center"/>
              <w:rPr>
                <w:rFonts w:asciiTheme="minorHAnsi" w:hAnsiTheme="minorHAnsi"/>
                <w:lang w:val="en-US"/>
              </w:rPr>
            </w:pPr>
            <w:r w:rsidRPr="008342DD">
              <w:rPr>
                <w:rFonts w:asciiTheme="minorHAnsi" w:hAnsiTheme="minorHAnsi"/>
                <w:lang w:val="en-US"/>
              </w:rPr>
              <w:t>Yes</w:t>
            </w:r>
          </w:p>
        </w:tc>
        <w:tc>
          <w:tcPr>
            <w:tcW w:w="712" w:type="pct"/>
            <w:shd w:val="clear" w:color="auto" w:fill="FF0000"/>
            <w:vAlign w:val="center"/>
          </w:tcPr>
          <w:p w:rsidR="008342DD" w:rsidRPr="008342DD" w:rsidRDefault="008342DD" w:rsidP="00CA35CB">
            <w:pPr>
              <w:spacing w:before="100" w:beforeAutospacing="1" w:after="100" w:afterAutospacing="1"/>
              <w:jc w:val="center"/>
              <w:rPr>
                <w:rFonts w:asciiTheme="minorHAnsi" w:hAnsiTheme="minorHAnsi"/>
                <w:lang w:val="en-US"/>
              </w:rPr>
            </w:pPr>
            <w:r w:rsidRPr="008342DD">
              <w:rPr>
                <w:rFonts w:asciiTheme="minorHAnsi" w:hAnsiTheme="minorHAnsi"/>
                <w:lang w:val="en-US"/>
              </w:rPr>
              <w:t>No</w:t>
            </w:r>
          </w:p>
        </w:tc>
      </w:tr>
      <w:tr w:rsidR="004012E8" w:rsidRPr="007A395D" w:rsidTr="00CA35CB">
        <w:trPr>
          <w:trHeight w:val="113"/>
        </w:trPr>
        <w:tc>
          <w:tcPr>
            <w:tcW w:w="538" w:type="pct"/>
            <w:vAlign w:val="center"/>
          </w:tcPr>
          <w:p w:rsidR="008342DD" w:rsidRPr="008342DD" w:rsidRDefault="008342DD" w:rsidP="00CA35CB">
            <w:pPr>
              <w:pStyle w:val="BodyText"/>
              <w:spacing w:before="100" w:beforeAutospacing="1" w:after="100" w:afterAutospacing="1"/>
              <w:jc w:val="center"/>
              <w:rPr>
                <w:lang w:val="en-US"/>
              </w:rPr>
            </w:pPr>
            <w:r w:rsidRPr="008342DD">
              <w:t>RED</w:t>
            </w:r>
          </w:p>
        </w:tc>
        <w:tc>
          <w:tcPr>
            <w:tcW w:w="1175" w:type="pct"/>
            <w:vAlign w:val="center"/>
          </w:tcPr>
          <w:p w:rsidR="008342DD" w:rsidRPr="008342DD" w:rsidRDefault="008342DD" w:rsidP="00CA35CB">
            <w:pPr>
              <w:pStyle w:val="BodyText"/>
              <w:spacing w:before="100" w:beforeAutospacing="1" w:after="100" w:afterAutospacing="1"/>
              <w:rPr>
                <w:lang w:val="en-US"/>
              </w:rPr>
            </w:pPr>
            <w:r w:rsidRPr="008342DD">
              <w:t>Redundancy</w:t>
            </w:r>
          </w:p>
        </w:tc>
        <w:tc>
          <w:tcPr>
            <w:tcW w:w="1175" w:type="pct"/>
            <w:vAlign w:val="center"/>
          </w:tcPr>
          <w:p w:rsidR="008342DD" w:rsidRPr="008342DD" w:rsidRDefault="008342DD" w:rsidP="00CA35CB">
            <w:pPr>
              <w:pStyle w:val="BodyText"/>
              <w:spacing w:before="100" w:beforeAutospacing="1" w:after="100" w:afterAutospacing="1"/>
              <w:rPr>
                <w:lang w:val="en-US"/>
              </w:rPr>
            </w:pPr>
            <w:r w:rsidRPr="008342DD">
              <w:t>Yes (RS only)</w:t>
            </w:r>
          </w:p>
        </w:tc>
        <w:tc>
          <w:tcPr>
            <w:tcW w:w="700" w:type="pct"/>
            <w:shd w:val="clear" w:color="auto" w:fill="00B050"/>
            <w:vAlign w:val="center"/>
          </w:tcPr>
          <w:p w:rsidR="008342DD" w:rsidRPr="008342DD" w:rsidRDefault="008342DD" w:rsidP="00CA35CB">
            <w:pPr>
              <w:pStyle w:val="BodyText"/>
              <w:spacing w:before="100" w:beforeAutospacing="1" w:after="100" w:afterAutospacing="1"/>
              <w:jc w:val="center"/>
              <w:rPr>
                <w:lang w:val="en-US"/>
              </w:rPr>
            </w:pPr>
            <w:r w:rsidRPr="008342DD">
              <w:t>Increased redundancy</w:t>
            </w:r>
          </w:p>
        </w:tc>
        <w:tc>
          <w:tcPr>
            <w:tcW w:w="700" w:type="pct"/>
            <w:vAlign w:val="center"/>
          </w:tcPr>
          <w:p w:rsidR="008342DD" w:rsidRPr="008342DD" w:rsidRDefault="008342DD" w:rsidP="00CA35CB">
            <w:pPr>
              <w:spacing w:before="100" w:beforeAutospacing="1" w:after="100" w:afterAutospacing="1"/>
              <w:jc w:val="center"/>
              <w:rPr>
                <w:rFonts w:asciiTheme="minorHAnsi" w:hAnsiTheme="minorHAnsi"/>
                <w:lang w:val="en-US"/>
              </w:rPr>
            </w:pPr>
            <w:r w:rsidRPr="008342DD">
              <w:rPr>
                <w:rFonts w:asciiTheme="minorHAnsi" w:hAnsiTheme="minorHAnsi"/>
              </w:rPr>
              <w:t>Same (2 RS &amp; 2IM)</w:t>
            </w:r>
          </w:p>
        </w:tc>
        <w:tc>
          <w:tcPr>
            <w:tcW w:w="712" w:type="pct"/>
            <w:shd w:val="clear" w:color="auto" w:fill="FF0000"/>
            <w:vAlign w:val="center"/>
          </w:tcPr>
          <w:p w:rsidR="008342DD" w:rsidRPr="008342DD" w:rsidRDefault="008342DD" w:rsidP="00CA35CB">
            <w:pPr>
              <w:spacing w:before="100" w:beforeAutospacing="1" w:after="100" w:afterAutospacing="1"/>
              <w:jc w:val="center"/>
              <w:rPr>
                <w:rFonts w:asciiTheme="minorHAnsi" w:hAnsiTheme="minorHAnsi"/>
                <w:lang w:val="en-US"/>
              </w:rPr>
            </w:pPr>
            <w:r w:rsidRPr="008342DD">
              <w:rPr>
                <w:rFonts w:asciiTheme="minorHAnsi" w:hAnsiTheme="minorHAnsi"/>
              </w:rPr>
              <w:t>Decreased redundancy</w:t>
            </w:r>
          </w:p>
        </w:tc>
      </w:tr>
      <w:tr w:rsidR="004012E8" w:rsidRPr="007A395D" w:rsidTr="00CA35CB">
        <w:trPr>
          <w:trHeight w:val="113"/>
        </w:trPr>
        <w:tc>
          <w:tcPr>
            <w:tcW w:w="538" w:type="pct"/>
            <w:vAlign w:val="center"/>
          </w:tcPr>
          <w:p w:rsidR="008342DD" w:rsidRPr="008342DD" w:rsidRDefault="008342DD" w:rsidP="00CA35CB">
            <w:pPr>
              <w:pStyle w:val="BodyText"/>
              <w:spacing w:before="100" w:beforeAutospacing="1" w:after="100" w:afterAutospacing="1"/>
              <w:jc w:val="center"/>
            </w:pPr>
            <w:r w:rsidRPr="008342DD">
              <w:rPr>
                <w:lang w:val="en-US"/>
              </w:rPr>
              <w:t>JSR</w:t>
            </w:r>
          </w:p>
        </w:tc>
        <w:tc>
          <w:tcPr>
            <w:tcW w:w="1175" w:type="pct"/>
            <w:vAlign w:val="center"/>
          </w:tcPr>
          <w:p w:rsidR="008342DD" w:rsidRPr="008342DD" w:rsidRDefault="008342DD" w:rsidP="00CA35CB">
            <w:pPr>
              <w:pStyle w:val="BodyText"/>
              <w:spacing w:before="100" w:beforeAutospacing="1" w:after="100" w:afterAutospacing="1"/>
            </w:pPr>
            <w:r w:rsidRPr="008342DD">
              <w:rPr>
                <w:lang w:val="en-US"/>
              </w:rPr>
              <w:t>Jamming and Spoofing Resiliency</w:t>
            </w:r>
          </w:p>
        </w:tc>
        <w:tc>
          <w:tcPr>
            <w:tcW w:w="1175" w:type="pct"/>
            <w:vAlign w:val="center"/>
          </w:tcPr>
          <w:p w:rsidR="008342DD" w:rsidRPr="008342DD" w:rsidRDefault="008342DD" w:rsidP="00CA35CB">
            <w:pPr>
              <w:pStyle w:val="BodyText"/>
              <w:spacing w:before="100" w:beforeAutospacing="1" w:after="100" w:afterAutospacing="1"/>
            </w:pPr>
            <w:r w:rsidRPr="008342DD">
              <w:rPr>
                <w:lang w:val="en-US"/>
              </w:rPr>
              <w:t>No</w:t>
            </w:r>
          </w:p>
        </w:tc>
        <w:tc>
          <w:tcPr>
            <w:tcW w:w="700" w:type="pct"/>
            <w:shd w:val="clear" w:color="auto" w:fill="00B050"/>
            <w:vAlign w:val="center"/>
          </w:tcPr>
          <w:p w:rsidR="008342DD" w:rsidRPr="008342DD" w:rsidRDefault="008342DD" w:rsidP="00CA35CB">
            <w:pPr>
              <w:pStyle w:val="BodyText"/>
              <w:spacing w:before="100" w:beforeAutospacing="1" w:after="100" w:afterAutospacing="1"/>
              <w:jc w:val="center"/>
            </w:pPr>
            <w:r w:rsidRPr="008342DD">
              <w:rPr>
                <w:lang w:val="en-US"/>
              </w:rPr>
              <w:t>Yes</w:t>
            </w:r>
          </w:p>
        </w:tc>
        <w:tc>
          <w:tcPr>
            <w:tcW w:w="700" w:type="pct"/>
            <w:vAlign w:val="center"/>
          </w:tcPr>
          <w:p w:rsidR="008342DD" w:rsidRPr="008342DD" w:rsidRDefault="008342DD" w:rsidP="00CA35CB">
            <w:pPr>
              <w:spacing w:before="100" w:beforeAutospacing="1" w:after="100" w:afterAutospacing="1"/>
              <w:jc w:val="center"/>
              <w:rPr>
                <w:rFonts w:asciiTheme="minorHAnsi" w:hAnsiTheme="minorHAnsi"/>
              </w:rPr>
            </w:pPr>
            <w:r w:rsidRPr="008342DD">
              <w:rPr>
                <w:rFonts w:asciiTheme="minorHAnsi" w:hAnsiTheme="minorHAnsi"/>
                <w:lang w:val="en-US"/>
              </w:rPr>
              <w:t>No</w:t>
            </w:r>
          </w:p>
        </w:tc>
        <w:tc>
          <w:tcPr>
            <w:tcW w:w="712" w:type="pct"/>
            <w:shd w:val="clear" w:color="auto" w:fill="FF0000"/>
            <w:vAlign w:val="center"/>
          </w:tcPr>
          <w:p w:rsidR="008342DD" w:rsidRPr="008342DD" w:rsidRDefault="008342DD" w:rsidP="00CA35CB">
            <w:pPr>
              <w:spacing w:before="100" w:beforeAutospacing="1" w:after="100" w:afterAutospacing="1"/>
              <w:jc w:val="center"/>
              <w:rPr>
                <w:rFonts w:asciiTheme="minorHAnsi" w:hAnsiTheme="minorHAnsi"/>
              </w:rPr>
            </w:pPr>
            <w:r w:rsidRPr="008342DD">
              <w:rPr>
                <w:rFonts w:asciiTheme="minorHAnsi" w:hAnsiTheme="minorHAnsi"/>
                <w:lang w:val="en-US"/>
              </w:rPr>
              <w:t>N/A</w:t>
            </w:r>
          </w:p>
        </w:tc>
      </w:tr>
      <w:tr w:rsidR="004012E8" w:rsidRPr="007A395D" w:rsidTr="00CA35CB">
        <w:trPr>
          <w:trHeight w:val="113"/>
        </w:trPr>
        <w:tc>
          <w:tcPr>
            <w:tcW w:w="538" w:type="pct"/>
            <w:vAlign w:val="center"/>
          </w:tcPr>
          <w:p w:rsidR="008342DD" w:rsidRPr="008342DD" w:rsidRDefault="008342DD" w:rsidP="00CA35CB">
            <w:pPr>
              <w:pStyle w:val="BodyText"/>
              <w:spacing w:before="100" w:beforeAutospacing="1" w:after="100" w:afterAutospacing="1"/>
              <w:jc w:val="center"/>
              <w:rPr>
                <w:lang w:val="en-US"/>
              </w:rPr>
            </w:pPr>
            <w:r w:rsidRPr="008342DD">
              <w:rPr>
                <w:lang w:val="en-US"/>
              </w:rPr>
              <w:t xml:space="preserve">SEP </w:t>
            </w:r>
            <w:r w:rsidRPr="008342DD">
              <w:t>(*)</w:t>
            </w:r>
          </w:p>
        </w:tc>
        <w:tc>
          <w:tcPr>
            <w:tcW w:w="1175" w:type="pct"/>
            <w:vAlign w:val="center"/>
          </w:tcPr>
          <w:p w:rsidR="008342DD" w:rsidRPr="008342DD" w:rsidRDefault="008342DD" w:rsidP="00CA35CB">
            <w:pPr>
              <w:pStyle w:val="BodyText"/>
              <w:spacing w:before="100" w:beforeAutospacing="1" w:after="100" w:afterAutospacing="1"/>
              <w:rPr>
                <w:lang w:val="en-US"/>
              </w:rPr>
            </w:pPr>
            <w:r w:rsidRPr="008342DD">
              <w:rPr>
                <w:lang w:val="en-US"/>
              </w:rPr>
              <w:t>Corrections generation separated from the transmission technology</w:t>
            </w:r>
          </w:p>
        </w:tc>
        <w:tc>
          <w:tcPr>
            <w:tcW w:w="1175" w:type="pct"/>
            <w:vAlign w:val="center"/>
          </w:tcPr>
          <w:p w:rsidR="008342DD" w:rsidRPr="008342DD" w:rsidRDefault="008342DD" w:rsidP="00CA35CB">
            <w:pPr>
              <w:pStyle w:val="BodyText"/>
              <w:spacing w:before="100" w:beforeAutospacing="1" w:after="100" w:afterAutospacing="1"/>
              <w:rPr>
                <w:lang w:val="en-US"/>
              </w:rPr>
            </w:pPr>
            <w:r w:rsidRPr="008342DD">
              <w:rPr>
                <w:lang w:val="en-US"/>
              </w:rPr>
              <w:t>No</w:t>
            </w:r>
          </w:p>
        </w:tc>
        <w:tc>
          <w:tcPr>
            <w:tcW w:w="700" w:type="pct"/>
            <w:shd w:val="clear" w:color="auto" w:fill="00B050"/>
            <w:vAlign w:val="center"/>
          </w:tcPr>
          <w:p w:rsidR="008342DD" w:rsidRPr="008342DD" w:rsidRDefault="008342DD" w:rsidP="00CA35CB">
            <w:pPr>
              <w:pStyle w:val="BodyText"/>
              <w:spacing w:before="100" w:beforeAutospacing="1" w:after="100" w:afterAutospacing="1"/>
              <w:jc w:val="center"/>
              <w:rPr>
                <w:lang w:val="en-US"/>
              </w:rPr>
            </w:pPr>
            <w:r w:rsidRPr="008342DD">
              <w:rPr>
                <w:lang w:val="en-US"/>
              </w:rPr>
              <w:t>Yes</w:t>
            </w:r>
          </w:p>
        </w:tc>
        <w:tc>
          <w:tcPr>
            <w:tcW w:w="700" w:type="pct"/>
            <w:vAlign w:val="center"/>
          </w:tcPr>
          <w:p w:rsidR="008342DD" w:rsidRPr="008342DD" w:rsidRDefault="008342DD" w:rsidP="00CA35CB">
            <w:pPr>
              <w:spacing w:before="100" w:beforeAutospacing="1" w:after="100" w:afterAutospacing="1"/>
              <w:jc w:val="center"/>
              <w:rPr>
                <w:rFonts w:asciiTheme="minorHAnsi" w:hAnsiTheme="minorHAnsi"/>
                <w:lang w:val="en-US"/>
              </w:rPr>
            </w:pPr>
            <w:r w:rsidRPr="008342DD">
              <w:rPr>
                <w:rFonts w:asciiTheme="minorHAnsi" w:hAnsiTheme="minorHAnsi"/>
                <w:lang w:val="en-US"/>
              </w:rPr>
              <w:t>No</w:t>
            </w:r>
          </w:p>
        </w:tc>
        <w:tc>
          <w:tcPr>
            <w:tcW w:w="712" w:type="pct"/>
            <w:shd w:val="clear" w:color="auto" w:fill="FF0000"/>
            <w:vAlign w:val="center"/>
          </w:tcPr>
          <w:p w:rsidR="008342DD" w:rsidRPr="008342DD" w:rsidRDefault="008342DD" w:rsidP="00CA35CB">
            <w:pPr>
              <w:spacing w:before="100" w:beforeAutospacing="1" w:after="100" w:afterAutospacing="1"/>
              <w:jc w:val="center"/>
              <w:rPr>
                <w:rFonts w:asciiTheme="minorHAnsi" w:hAnsiTheme="minorHAnsi"/>
                <w:lang w:val="en-US"/>
              </w:rPr>
            </w:pPr>
            <w:r w:rsidRPr="008342DD">
              <w:rPr>
                <w:rFonts w:asciiTheme="minorHAnsi" w:hAnsiTheme="minorHAnsi"/>
                <w:lang w:val="en-US"/>
              </w:rPr>
              <w:t>N/A</w:t>
            </w:r>
          </w:p>
        </w:tc>
      </w:tr>
    </w:tbl>
    <w:p w:rsidR="000248F1" w:rsidRDefault="000248F1" w:rsidP="000248F1">
      <w:pPr>
        <w:pStyle w:val="BodyText"/>
      </w:pPr>
      <w:r>
        <w:lastRenderedPageBreak/>
        <w:t>Among the identified criteria, the following are considered to be mandatory or highly recommended for an EGNOS based architecture to be presented to the maritime authorities as an alternative to their current solutions with a reasonable probability of success:</w:t>
      </w:r>
    </w:p>
    <w:p w:rsidR="000248F1" w:rsidRPr="000248F1" w:rsidRDefault="000248F1" w:rsidP="00A37C89">
      <w:pPr>
        <w:pStyle w:val="Bullet1"/>
        <w:numPr>
          <w:ilvl w:val="0"/>
          <w:numId w:val="13"/>
        </w:numPr>
        <w:ind w:left="1134" w:hanging="567"/>
        <w:rPr>
          <w:rFonts w:ascii="Calibri" w:hAnsi="Calibri"/>
        </w:rPr>
      </w:pPr>
      <w:r w:rsidRPr="000248F1">
        <w:rPr>
          <w:rFonts w:ascii="Calibri" w:hAnsi="Calibri"/>
        </w:rPr>
        <w:t>The “Legacy receivers compatibility” (LEG) and “Integrity Monitoring” (IM) functionalities are considered mandatory</w:t>
      </w:r>
      <w:r w:rsidR="00C70270">
        <w:rPr>
          <w:rFonts w:ascii="Calibri" w:hAnsi="Calibri"/>
        </w:rPr>
        <w:t xml:space="preserve"> (highlighted in red in the table)</w:t>
      </w:r>
      <w:r w:rsidRPr="000248F1">
        <w:rPr>
          <w:rFonts w:ascii="Calibri" w:hAnsi="Calibri"/>
        </w:rPr>
        <w:t>. Therefore, EGNOS based DGNSS service architectures requiring new user equipment are proposed to be discarded.</w:t>
      </w:r>
    </w:p>
    <w:p w:rsidR="000248F1" w:rsidRPr="000248F1" w:rsidRDefault="000248F1" w:rsidP="00A37C89">
      <w:pPr>
        <w:pStyle w:val="Bullet1"/>
        <w:numPr>
          <w:ilvl w:val="0"/>
          <w:numId w:val="13"/>
        </w:numPr>
        <w:ind w:left="1134" w:hanging="567"/>
        <w:rPr>
          <w:rFonts w:ascii="Calibri" w:hAnsi="Calibri"/>
        </w:rPr>
      </w:pPr>
      <w:r w:rsidRPr="000248F1">
        <w:rPr>
          <w:rFonts w:ascii="Calibri" w:hAnsi="Calibri"/>
        </w:rPr>
        <w:t>The following IALA/IMO recommendations that should be considered when designing an EGNOS based DGNSS architecture</w:t>
      </w:r>
      <w:r w:rsidR="00C70270">
        <w:rPr>
          <w:rFonts w:ascii="Calibri" w:hAnsi="Calibri"/>
        </w:rPr>
        <w:t xml:space="preserve"> (</w:t>
      </w:r>
      <w:r w:rsidR="00C70270" w:rsidRPr="00C70270">
        <w:rPr>
          <w:rFonts w:ascii="Calibri" w:hAnsi="Calibri"/>
        </w:rPr>
        <w:t>highlighted with an asterisk (*) in</w:t>
      </w:r>
      <w:r w:rsidR="003166FE">
        <w:rPr>
          <w:rFonts w:ascii="Calibri" w:hAnsi="Calibri"/>
        </w:rPr>
        <w:t xml:space="preserve"> </w:t>
      </w:r>
      <w:r w:rsidR="005A65F2">
        <w:rPr>
          <w:rFonts w:ascii="Calibri" w:hAnsi="Calibri"/>
        </w:rPr>
        <w:t>the tables</w:t>
      </w:r>
      <w:r w:rsidR="00C70270" w:rsidRPr="00C70270">
        <w:rPr>
          <w:rFonts w:ascii="Calibri" w:hAnsi="Calibri"/>
        </w:rPr>
        <w:t>)</w:t>
      </w:r>
      <w:r w:rsidRPr="000248F1">
        <w:rPr>
          <w:rFonts w:ascii="Calibri" w:hAnsi="Calibri"/>
        </w:rPr>
        <w:t>:</w:t>
      </w:r>
    </w:p>
    <w:p w:rsidR="000248F1" w:rsidRPr="000248F1" w:rsidRDefault="000248F1" w:rsidP="00A37C89">
      <w:pPr>
        <w:pStyle w:val="Bullet1"/>
        <w:numPr>
          <w:ilvl w:val="1"/>
          <w:numId w:val="13"/>
        </w:numPr>
        <w:rPr>
          <w:rFonts w:ascii="Calibri" w:hAnsi="Calibri"/>
        </w:rPr>
      </w:pPr>
      <w:r w:rsidRPr="000248F1">
        <w:rPr>
          <w:rFonts w:ascii="Calibri" w:hAnsi="Calibri"/>
        </w:rPr>
        <w:t>Independence of corrections generation  vs integrity check</w:t>
      </w:r>
    </w:p>
    <w:p w:rsidR="000248F1" w:rsidRPr="000248F1" w:rsidRDefault="000248F1" w:rsidP="00A37C89">
      <w:pPr>
        <w:pStyle w:val="Bullet1"/>
        <w:numPr>
          <w:ilvl w:val="1"/>
          <w:numId w:val="13"/>
        </w:numPr>
        <w:rPr>
          <w:rFonts w:ascii="Calibri" w:hAnsi="Calibri"/>
        </w:rPr>
      </w:pPr>
      <w:r w:rsidRPr="000248F1">
        <w:rPr>
          <w:rFonts w:ascii="Calibri" w:hAnsi="Calibri"/>
        </w:rPr>
        <w:t>MF link monitoring</w:t>
      </w:r>
    </w:p>
    <w:p w:rsidR="000248F1" w:rsidRPr="000248F1" w:rsidRDefault="000248F1" w:rsidP="00A37C89">
      <w:pPr>
        <w:pStyle w:val="Bullet1"/>
        <w:numPr>
          <w:ilvl w:val="1"/>
          <w:numId w:val="13"/>
        </w:numPr>
        <w:rPr>
          <w:rFonts w:ascii="Calibri" w:hAnsi="Calibri"/>
        </w:rPr>
      </w:pPr>
      <w:r w:rsidRPr="000248F1">
        <w:rPr>
          <w:rFonts w:ascii="Calibri" w:hAnsi="Calibri"/>
        </w:rPr>
        <w:t>Corrections generation separated from the transmission technology</w:t>
      </w:r>
    </w:p>
    <w:p w:rsidR="000248F1" w:rsidRDefault="00C70270" w:rsidP="00C70270">
      <w:pPr>
        <w:pStyle w:val="BodyText"/>
      </w:pPr>
      <w:r>
        <w:t xml:space="preserve">Moreover, </w:t>
      </w:r>
      <w:r w:rsidR="000248F1">
        <w:t xml:space="preserve">in order to meet the availability requirement (99.8%) for general maritime navigation, redundant solutions </w:t>
      </w:r>
      <w:r w:rsidR="000248F1" w:rsidRPr="00C70270">
        <w:t>should</w:t>
      </w:r>
      <w:r w:rsidR="000248F1">
        <w:t xml:space="preserve"> be considered.</w:t>
      </w:r>
    </w:p>
    <w:p w:rsidR="00344644" w:rsidRDefault="00344644" w:rsidP="00C70270">
      <w:pPr>
        <w:pStyle w:val="BodyText"/>
      </w:pPr>
    </w:p>
    <w:p w:rsidR="00BA25D5" w:rsidRDefault="007C2BF5" w:rsidP="00BA25D5">
      <w:pPr>
        <w:pStyle w:val="BodyText"/>
      </w:pPr>
      <w:r>
        <w:t>The table below presents the trade-off analysis performed</w:t>
      </w:r>
      <w:r w:rsidR="005F03AC">
        <w:t xml:space="preserve"> for the</w:t>
      </w:r>
      <w:r w:rsidR="00344644">
        <w:t xml:space="preserve"> three architectures identified as the most promising ones</w:t>
      </w:r>
      <w:r>
        <w:t>:</w:t>
      </w:r>
    </w:p>
    <w:p w:rsidR="00081DE6" w:rsidRPr="007A395D" w:rsidRDefault="007C2BF5" w:rsidP="00081DE6">
      <w:pPr>
        <w:pStyle w:val="Table"/>
        <w:numPr>
          <w:ilvl w:val="0"/>
          <w:numId w:val="9"/>
        </w:numPr>
        <w:rPr>
          <w:rFonts w:ascii="Calibri" w:hAnsi="Calibri"/>
        </w:rPr>
      </w:pPr>
      <w:r>
        <w:rPr>
          <w:rFonts w:ascii="Calibri" w:hAnsi="Calibri"/>
        </w:rPr>
        <w:t>Trade-Off Analysis</w:t>
      </w:r>
      <w:r w:rsidR="005F03AC">
        <w:rPr>
          <w:rFonts w:ascii="Calibri" w:hAnsi="Calibri"/>
        </w:rPr>
        <w:t xml:space="preserve"> - EGNOS over IALA beacons</w:t>
      </w:r>
    </w:p>
    <w:tbl>
      <w:tblPr>
        <w:tblStyle w:val="TableProfessional"/>
        <w:tblW w:w="5000" w:type="pct"/>
        <w:tblLook w:val="04A0" w:firstRow="1" w:lastRow="0" w:firstColumn="1" w:lastColumn="0" w:noHBand="0" w:noVBand="1"/>
      </w:tblPr>
      <w:tblGrid>
        <w:gridCol w:w="3035"/>
        <w:gridCol w:w="1057"/>
        <w:gridCol w:w="1123"/>
        <w:gridCol w:w="1123"/>
        <w:gridCol w:w="561"/>
        <w:gridCol w:w="564"/>
        <w:gridCol w:w="1126"/>
        <w:gridCol w:w="1126"/>
        <w:gridCol w:w="1126"/>
        <w:gridCol w:w="1120"/>
        <w:gridCol w:w="559"/>
        <w:gridCol w:w="559"/>
        <w:gridCol w:w="553"/>
        <w:gridCol w:w="544"/>
      </w:tblGrid>
      <w:tr w:rsidR="00344644" w:rsidRPr="007C2BF5" w:rsidTr="00344644">
        <w:trPr>
          <w:cnfStyle w:val="100000000000" w:firstRow="1" w:lastRow="0" w:firstColumn="0" w:lastColumn="0" w:oddVBand="0" w:evenVBand="0" w:oddHBand="0" w:evenHBand="0" w:firstRowFirstColumn="0" w:firstRowLastColumn="0" w:lastRowFirstColumn="0" w:lastRowLastColumn="0"/>
          <w:cantSplit/>
          <w:tblHeader/>
        </w:trPr>
        <w:tc>
          <w:tcPr>
            <w:tcW w:w="1071" w:type="pct"/>
          </w:tcPr>
          <w:p w:rsidR="00344644" w:rsidRPr="007C2BF5" w:rsidRDefault="00344644" w:rsidP="007C2BF5">
            <w:pPr>
              <w:jc w:val="center"/>
              <w:rPr>
                <w:rFonts w:asciiTheme="minorHAnsi" w:hAnsiTheme="minorHAnsi"/>
              </w:rPr>
            </w:pPr>
            <w:proofErr w:type="spellStart"/>
            <w:r w:rsidRPr="007C2BF5">
              <w:rPr>
                <w:rFonts w:asciiTheme="minorHAnsi" w:hAnsiTheme="minorHAnsi"/>
              </w:rPr>
              <w:t>Title</w:t>
            </w:r>
            <w:proofErr w:type="spellEnd"/>
          </w:p>
        </w:tc>
        <w:tc>
          <w:tcPr>
            <w:tcW w:w="373" w:type="pct"/>
          </w:tcPr>
          <w:p w:rsidR="00344644" w:rsidRPr="007C2BF5" w:rsidRDefault="00344644" w:rsidP="007C2BF5">
            <w:pPr>
              <w:jc w:val="center"/>
              <w:rPr>
                <w:rFonts w:asciiTheme="minorHAnsi" w:hAnsiTheme="minorHAnsi"/>
              </w:rPr>
            </w:pPr>
            <w:r w:rsidRPr="007C2BF5">
              <w:rPr>
                <w:rFonts w:asciiTheme="minorHAnsi" w:hAnsiTheme="minorHAnsi"/>
              </w:rPr>
              <w:t>INF</w:t>
            </w:r>
          </w:p>
        </w:tc>
        <w:tc>
          <w:tcPr>
            <w:tcW w:w="396" w:type="pct"/>
          </w:tcPr>
          <w:p w:rsidR="00344644" w:rsidRPr="007C2BF5" w:rsidRDefault="00344644" w:rsidP="007C2BF5">
            <w:pPr>
              <w:jc w:val="center"/>
              <w:rPr>
                <w:rFonts w:asciiTheme="minorHAnsi" w:hAnsiTheme="minorHAnsi"/>
              </w:rPr>
            </w:pPr>
            <w:r w:rsidRPr="00BC3E04">
              <w:rPr>
                <w:rFonts w:asciiTheme="minorHAnsi" w:hAnsiTheme="minorHAnsi"/>
                <w:color w:val="FF0000"/>
              </w:rPr>
              <w:t>LEG</w:t>
            </w:r>
          </w:p>
        </w:tc>
        <w:tc>
          <w:tcPr>
            <w:tcW w:w="396" w:type="pct"/>
          </w:tcPr>
          <w:p w:rsidR="00344644" w:rsidRPr="007C2BF5" w:rsidRDefault="00344644" w:rsidP="007C2BF5">
            <w:pPr>
              <w:jc w:val="center"/>
              <w:rPr>
                <w:rFonts w:asciiTheme="minorHAnsi" w:hAnsiTheme="minorHAnsi"/>
              </w:rPr>
            </w:pPr>
            <w:r w:rsidRPr="00BC3E04">
              <w:rPr>
                <w:rFonts w:asciiTheme="minorHAnsi" w:hAnsiTheme="minorHAnsi"/>
                <w:color w:val="FF0000"/>
              </w:rPr>
              <w:t>IM</w:t>
            </w:r>
          </w:p>
        </w:tc>
        <w:tc>
          <w:tcPr>
            <w:tcW w:w="397" w:type="pct"/>
            <w:gridSpan w:val="2"/>
          </w:tcPr>
          <w:p w:rsidR="00344644" w:rsidRPr="007C2BF5" w:rsidRDefault="00344644" w:rsidP="007C2BF5">
            <w:pPr>
              <w:jc w:val="center"/>
              <w:rPr>
                <w:rFonts w:asciiTheme="minorHAnsi" w:hAnsiTheme="minorHAnsi"/>
              </w:rPr>
            </w:pPr>
            <w:r w:rsidRPr="007C2BF5">
              <w:rPr>
                <w:rFonts w:asciiTheme="minorHAnsi" w:hAnsiTheme="minorHAnsi"/>
              </w:rPr>
              <w:t>LOC</w:t>
            </w:r>
          </w:p>
        </w:tc>
        <w:tc>
          <w:tcPr>
            <w:tcW w:w="397" w:type="pct"/>
          </w:tcPr>
          <w:p w:rsidR="00344644" w:rsidRPr="007C2BF5" w:rsidRDefault="00344644" w:rsidP="007C2BF5">
            <w:pPr>
              <w:jc w:val="center"/>
              <w:rPr>
                <w:rFonts w:asciiTheme="minorHAnsi" w:hAnsiTheme="minorHAnsi"/>
              </w:rPr>
            </w:pPr>
            <w:r w:rsidRPr="007C2BF5">
              <w:rPr>
                <w:rFonts w:asciiTheme="minorHAnsi" w:hAnsiTheme="minorHAnsi"/>
              </w:rPr>
              <w:t>IND(*)</w:t>
            </w:r>
          </w:p>
        </w:tc>
        <w:tc>
          <w:tcPr>
            <w:tcW w:w="397" w:type="pct"/>
          </w:tcPr>
          <w:p w:rsidR="00344644" w:rsidRPr="007C2BF5" w:rsidRDefault="00344644" w:rsidP="007C2BF5">
            <w:pPr>
              <w:jc w:val="center"/>
              <w:rPr>
                <w:rFonts w:asciiTheme="minorHAnsi" w:hAnsiTheme="minorHAnsi"/>
              </w:rPr>
            </w:pPr>
            <w:r w:rsidRPr="007C2BF5">
              <w:rPr>
                <w:rFonts w:asciiTheme="minorHAnsi" w:hAnsiTheme="minorHAnsi"/>
              </w:rPr>
              <w:t>COM</w:t>
            </w:r>
          </w:p>
        </w:tc>
        <w:tc>
          <w:tcPr>
            <w:tcW w:w="397" w:type="pct"/>
          </w:tcPr>
          <w:p w:rsidR="00344644" w:rsidRPr="007C2BF5" w:rsidRDefault="00344644" w:rsidP="007C2BF5">
            <w:pPr>
              <w:jc w:val="center"/>
              <w:rPr>
                <w:rFonts w:asciiTheme="minorHAnsi" w:hAnsiTheme="minorHAnsi"/>
              </w:rPr>
            </w:pPr>
            <w:r w:rsidRPr="007C2BF5">
              <w:rPr>
                <w:rFonts w:asciiTheme="minorHAnsi" w:hAnsiTheme="minorHAnsi"/>
              </w:rPr>
              <w:t>MF(*)</w:t>
            </w:r>
          </w:p>
        </w:tc>
        <w:tc>
          <w:tcPr>
            <w:tcW w:w="395" w:type="pct"/>
          </w:tcPr>
          <w:p w:rsidR="00344644" w:rsidRPr="007C2BF5" w:rsidRDefault="00344644" w:rsidP="007C2BF5">
            <w:pPr>
              <w:jc w:val="center"/>
              <w:rPr>
                <w:rFonts w:asciiTheme="minorHAnsi" w:hAnsiTheme="minorHAnsi"/>
              </w:rPr>
            </w:pPr>
            <w:r w:rsidRPr="007C2BF5">
              <w:rPr>
                <w:rFonts w:asciiTheme="minorHAnsi" w:hAnsiTheme="minorHAnsi"/>
              </w:rPr>
              <w:t>RED</w:t>
            </w:r>
          </w:p>
        </w:tc>
        <w:tc>
          <w:tcPr>
            <w:tcW w:w="394" w:type="pct"/>
            <w:gridSpan w:val="2"/>
          </w:tcPr>
          <w:p w:rsidR="00344644" w:rsidRPr="007C2BF5" w:rsidRDefault="00344644" w:rsidP="007C2BF5">
            <w:pPr>
              <w:jc w:val="center"/>
              <w:rPr>
                <w:rFonts w:asciiTheme="minorHAnsi" w:hAnsiTheme="minorHAnsi"/>
              </w:rPr>
            </w:pPr>
            <w:r w:rsidRPr="007C2BF5">
              <w:rPr>
                <w:rFonts w:asciiTheme="minorHAnsi" w:hAnsiTheme="minorHAnsi"/>
              </w:rPr>
              <w:t>JSR</w:t>
            </w:r>
          </w:p>
        </w:tc>
        <w:tc>
          <w:tcPr>
            <w:tcW w:w="387" w:type="pct"/>
            <w:gridSpan w:val="2"/>
          </w:tcPr>
          <w:p w:rsidR="00344644" w:rsidRPr="007C2BF5" w:rsidRDefault="00344644" w:rsidP="007C2BF5">
            <w:pPr>
              <w:jc w:val="center"/>
              <w:rPr>
                <w:rFonts w:asciiTheme="minorHAnsi" w:hAnsiTheme="minorHAnsi"/>
              </w:rPr>
            </w:pPr>
            <w:r w:rsidRPr="007C2BF5">
              <w:rPr>
                <w:rFonts w:asciiTheme="minorHAnsi" w:hAnsiTheme="minorHAnsi"/>
              </w:rPr>
              <w:t>SEP(*)</w:t>
            </w:r>
          </w:p>
        </w:tc>
      </w:tr>
      <w:tr w:rsidR="00344644" w:rsidRPr="007C2BF5" w:rsidTr="00344644">
        <w:trPr>
          <w:cantSplit/>
          <w:trHeight w:val="340"/>
        </w:trPr>
        <w:tc>
          <w:tcPr>
            <w:tcW w:w="1071" w:type="pct"/>
          </w:tcPr>
          <w:p w:rsidR="00344644" w:rsidRPr="007C2BF5" w:rsidRDefault="00344644" w:rsidP="007C2BF5">
            <w:pPr>
              <w:pStyle w:val="BodyText"/>
              <w:spacing w:before="100" w:beforeAutospacing="1" w:after="100" w:afterAutospacing="1"/>
              <w:jc w:val="left"/>
              <w:rPr>
                <w:sz w:val="20"/>
                <w:szCs w:val="20"/>
              </w:rPr>
            </w:pPr>
            <w:r w:rsidRPr="007C2BF5">
              <w:rPr>
                <w:rFonts w:eastAsia="Calibri"/>
                <w:sz w:val="20"/>
                <w:szCs w:val="20"/>
                <w:lang w:val="en-GB" w:eastAsia="en-GB"/>
              </w:rPr>
              <w:t>Current Architecture (assuming redundancy)</w:t>
            </w:r>
          </w:p>
        </w:tc>
        <w:tc>
          <w:tcPr>
            <w:tcW w:w="373" w:type="pct"/>
            <w:shd w:val="clear" w:color="auto" w:fill="FFFFFF" w:themeFill="background1"/>
          </w:tcPr>
          <w:p w:rsidR="00344644" w:rsidRPr="007C2BF5" w:rsidRDefault="00344644" w:rsidP="007C2BF5">
            <w:pPr>
              <w:pStyle w:val="BodyText"/>
              <w:spacing w:before="100" w:beforeAutospacing="1" w:after="100" w:afterAutospacing="1"/>
              <w:jc w:val="left"/>
              <w:rPr>
                <w:sz w:val="20"/>
                <w:szCs w:val="20"/>
              </w:rPr>
            </w:pPr>
          </w:p>
        </w:tc>
        <w:tc>
          <w:tcPr>
            <w:tcW w:w="396" w:type="pct"/>
            <w:shd w:val="clear" w:color="auto" w:fill="FFFFFF" w:themeFill="background1"/>
          </w:tcPr>
          <w:p w:rsidR="00344644" w:rsidRPr="007C2BF5" w:rsidRDefault="00344644" w:rsidP="007C2BF5">
            <w:pPr>
              <w:pStyle w:val="BodyText"/>
              <w:spacing w:before="100" w:beforeAutospacing="1" w:after="100" w:afterAutospacing="1"/>
              <w:jc w:val="left"/>
              <w:rPr>
                <w:sz w:val="20"/>
                <w:szCs w:val="20"/>
              </w:rPr>
            </w:pPr>
          </w:p>
        </w:tc>
        <w:tc>
          <w:tcPr>
            <w:tcW w:w="396" w:type="pct"/>
            <w:shd w:val="clear" w:color="auto" w:fill="FFFFFF" w:themeFill="background1"/>
          </w:tcPr>
          <w:p w:rsidR="00344644" w:rsidRPr="007C2BF5" w:rsidRDefault="00344644" w:rsidP="007C2BF5">
            <w:pPr>
              <w:pStyle w:val="BodyText"/>
              <w:spacing w:before="100" w:beforeAutospacing="1" w:after="100" w:afterAutospacing="1"/>
              <w:jc w:val="left"/>
              <w:rPr>
                <w:sz w:val="20"/>
                <w:szCs w:val="20"/>
              </w:rPr>
            </w:pPr>
          </w:p>
        </w:tc>
        <w:tc>
          <w:tcPr>
            <w:tcW w:w="397" w:type="pct"/>
            <w:gridSpan w:val="2"/>
            <w:shd w:val="clear" w:color="auto" w:fill="FFFFFF" w:themeFill="background1"/>
          </w:tcPr>
          <w:p w:rsidR="00344644" w:rsidRPr="007C2BF5" w:rsidRDefault="00344644" w:rsidP="007C2BF5">
            <w:pPr>
              <w:pStyle w:val="BodyText"/>
              <w:spacing w:before="100" w:beforeAutospacing="1" w:after="100" w:afterAutospacing="1"/>
              <w:jc w:val="left"/>
              <w:rPr>
                <w:sz w:val="20"/>
                <w:szCs w:val="20"/>
              </w:rPr>
            </w:pPr>
          </w:p>
        </w:tc>
        <w:tc>
          <w:tcPr>
            <w:tcW w:w="397" w:type="pct"/>
            <w:shd w:val="clear" w:color="auto" w:fill="FFFFFF" w:themeFill="background1"/>
          </w:tcPr>
          <w:p w:rsidR="00344644" w:rsidRPr="007C2BF5" w:rsidRDefault="00344644" w:rsidP="007C2BF5">
            <w:pPr>
              <w:pStyle w:val="BodyText"/>
              <w:spacing w:before="100" w:beforeAutospacing="1" w:after="100" w:afterAutospacing="1"/>
              <w:jc w:val="left"/>
              <w:rPr>
                <w:sz w:val="20"/>
                <w:szCs w:val="20"/>
              </w:rPr>
            </w:pPr>
          </w:p>
        </w:tc>
        <w:tc>
          <w:tcPr>
            <w:tcW w:w="397" w:type="pct"/>
            <w:shd w:val="clear" w:color="auto" w:fill="FFFFFF" w:themeFill="background1"/>
          </w:tcPr>
          <w:p w:rsidR="00344644" w:rsidRPr="007C2BF5" w:rsidRDefault="00344644" w:rsidP="007C2BF5">
            <w:pPr>
              <w:pStyle w:val="BodyText"/>
              <w:spacing w:before="100" w:beforeAutospacing="1" w:after="100" w:afterAutospacing="1"/>
              <w:jc w:val="left"/>
              <w:rPr>
                <w:sz w:val="20"/>
                <w:szCs w:val="20"/>
              </w:rPr>
            </w:pPr>
          </w:p>
        </w:tc>
        <w:tc>
          <w:tcPr>
            <w:tcW w:w="397" w:type="pct"/>
            <w:shd w:val="clear" w:color="auto" w:fill="FFFFFF" w:themeFill="background1"/>
          </w:tcPr>
          <w:p w:rsidR="00344644" w:rsidRPr="007C2BF5" w:rsidRDefault="00344644" w:rsidP="007C2BF5">
            <w:pPr>
              <w:pStyle w:val="BodyText"/>
              <w:spacing w:before="100" w:beforeAutospacing="1" w:after="100" w:afterAutospacing="1"/>
              <w:jc w:val="left"/>
              <w:rPr>
                <w:sz w:val="20"/>
                <w:szCs w:val="20"/>
              </w:rPr>
            </w:pPr>
          </w:p>
        </w:tc>
        <w:tc>
          <w:tcPr>
            <w:tcW w:w="395" w:type="pct"/>
            <w:shd w:val="clear" w:color="auto" w:fill="FFFFFF" w:themeFill="background1"/>
          </w:tcPr>
          <w:p w:rsidR="00344644" w:rsidRPr="007C2BF5" w:rsidRDefault="00344644" w:rsidP="007C2BF5">
            <w:pPr>
              <w:pStyle w:val="BodyText"/>
              <w:spacing w:before="100" w:beforeAutospacing="1" w:after="100" w:afterAutospacing="1"/>
              <w:jc w:val="left"/>
              <w:rPr>
                <w:sz w:val="20"/>
                <w:szCs w:val="20"/>
              </w:rPr>
            </w:pPr>
          </w:p>
        </w:tc>
        <w:tc>
          <w:tcPr>
            <w:tcW w:w="394" w:type="pct"/>
            <w:gridSpan w:val="2"/>
            <w:shd w:val="clear" w:color="auto" w:fill="FFFFFF" w:themeFill="background1"/>
          </w:tcPr>
          <w:p w:rsidR="00344644" w:rsidRPr="007C2BF5" w:rsidRDefault="00344644" w:rsidP="007C2BF5">
            <w:pPr>
              <w:pStyle w:val="BodyText"/>
              <w:spacing w:before="100" w:beforeAutospacing="1" w:after="100" w:afterAutospacing="1"/>
              <w:jc w:val="left"/>
              <w:rPr>
                <w:sz w:val="20"/>
                <w:szCs w:val="20"/>
              </w:rPr>
            </w:pPr>
          </w:p>
        </w:tc>
        <w:tc>
          <w:tcPr>
            <w:tcW w:w="387" w:type="pct"/>
            <w:gridSpan w:val="2"/>
            <w:shd w:val="clear" w:color="auto" w:fill="FFFFFF" w:themeFill="background1"/>
          </w:tcPr>
          <w:p w:rsidR="00344644" w:rsidRPr="007C2BF5" w:rsidRDefault="00344644" w:rsidP="007C2BF5">
            <w:pPr>
              <w:pStyle w:val="BodyText"/>
              <w:spacing w:before="100" w:beforeAutospacing="1" w:after="100" w:afterAutospacing="1"/>
              <w:jc w:val="left"/>
              <w:rPr>
                <w:sz w:val="20"/>
                <w:szCs w:val="20"/>
              </w:rPr>
            </w:pPr>
          </w:p>
        </w:tc>
      </w:tr>
      <w:tr w:rsidR="00344644" w:rsidRPr="007C2BF5" w:rsidTr="00344644">
        <w:trPr>
          <w:cantSplit/>
          <w:trHeight w:val="340"/>
        </w:trPr>
        <w:tc>
          <w:tcPr>
            <w:tcW w:w="1071" w:type="pct"/>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r w:rsidRPr="007C2BF5">
              <w:rPr>
                <w:rFonts w:eastAsia="Calibri"/>
                <w:sz w:val="20"/>
                <w:szCs w:val="20"/>
                <w:lang w:val="en-GB" w:eastAsia="en-GB"/>
              </w:rPr>
              <w:t>Hybrid Decentralised</w:t>
            </w:r>
          </w:p>
        </w:tc>
        <w:tc>
          <w:tcPr>
            <w:tcW w:w="373" w:type="pct"/>
            <w:shd w:val="clear" w:color="auto" w:fill="FFFFFF" w:themeFill="background1"/>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96" w:type="pct"/>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96" w:type="pct"/>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198" w:type="pct"/>
            <w:shd w:val="clear" w:color="auto" w:fill="FFFFFF" w:themeFill="background1"/>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199" w:type="pct"/>
            <w:shd w:val="clear" w:color="auto" w:fill="00B050"/>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97" w:type="pct"/>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97" w:type="pct"/>
            <w:shd w:val="clear" w:color="auto" w:fill="FFFFFF" w:themeFill="background1"/>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97" w:type="pct"/>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95" w:type="pct"/>
            <w:shd w:val="clear" w:color="auto" w:fill="FFFFFF" w:themeFill="background1"/>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197" w:type="pct"/>
            <w:shd w:val="clear" w:color="auto" w:fill="FFFFFF" w:themeFill="background1"/>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197" w:type="pct"/>
            <w:shd w:val="clear" w:color="auto" w:fill="00B050"/>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87" w:type="pct"/>
            <w:gridSpan w:val="2"/>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r>
      <w:tr w:rsidR="00344644" w:rsidRPr="007C2BF5" w:rsidTr="00344644">
        <w:trPr>
          <w:cantSplit/>
          <w:trHeight w:val="340"/>
        </w:trPr>
        <w:tc>
          <w:tcPr>
            <w:tcW w:w="1071" w:type="pct"/>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r w:rsidRPr="007C2BF5">
              <w:rPr>
                <w:rFonts w:eastAsia="Calibri"/>
                <w:sz w:val="20"/>
                <w:szCs w:val="20"/>
                <w:lang w:val="en-GB" w:eastAsia="en-GB"/>
              </w:rPr>
              <w:t>Hybrid Centralised</w:t>
            </w:r>
          </w:p>
        </w:tc>
        <w:tc>
          <w:tcPr>
            <w:tcW w:w="373" w:type="pct"/>
            <w:shd w:val="clear" w:color="auto" w:fill="00B050"/>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96" w:type="pct"/>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96" w:type="pct"/>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198" w:type="pct"/>
            <w:shd w:val="clear" w:color="auto" w:fill="FFFFFF" w:themeFill="background1"/>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199" w:type="pct"/>
            <w:shd w:val="clear" w:color="auto" w:fill="00B050"/>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97" w:type="pct"/>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97" w:type="pct"/>
            <w:shd w:val="clear" w:color="auto" w:fill="FFFFFF" w:themeFill="background1"/>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97" w:type="pct"/>
            <w:shd w:val="clear" w:color="auto" w:fill="FFFFFF" w:themeFill="background1"/>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95" w:type="pct"/>
            <w:shd w:val="clear" w:color="auto" w:fill="FFFFFF" w:themeFill="background1"/>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197" w:type="pct"/>
            <w:shd w:val="clear" w:color="auto" w:fill="FFFFFF" w:themeFill="background1"/>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197" w:type="pct"/>
            <w:shd w:val="clear" w:color="auto" w:fill="00B050"/>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195" w:type="pct"/>
            <w:shd w:val="clear" w:color="auto" w:fill="FFFFFF" w:themeFill="background1"/>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192" w:type="pct"/>
            <w:shd w:val="clear" w:color="auto" w:fill="00B050"/>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r>
      <w:tr w:rsidR="00344644" w:rsidRPr="007C2BF5" w:rsidTr="00344644">
        <w:trPr>
          <w:cantSplit/>
          <w:trHeight w:val="340"/>
        </w:trPr>
        <w:tc>
          <w:tcPr>
            <w:tcW w:w="1071" w:type="pct"/>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r w:rsidRPr="007C2BF5">
              <w:rPr>
                <w:rFonts w:eastAsia="Calibri"/>
                <w:sz w:val="20"/>
                <w:szCs w:val="20"/>
                <w:lang w:val="en-GB" w:eastAsia="en-GB"/>
              </w:rPr>
              <w:t>Redundant fully EGNOS</w:t>
            </w:r>
          </w:p>
        </w:tc>
        <w:tc>
          <w:tcPr>
            <w:tcW w:w="373" w:type="pct"/>
            <w:shd w:val="clear" w:color="auto" w:fill="00B050"/>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96" w:type="pct"/>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96" w:type="pct"/>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97" w:type="pct"/>
            <w:gridSpan w:val="2"/>
            <w:shd w:val="clear" w:color="auto" w:fill="00B050"/>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97" w:type="pct"/>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97" w:type="pct"/>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97" w:type="pct"/>
            <w:shd w:val="clear" w:color="auto" w:fill="FFFFFF" w:themeFill="background1"/>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95" w:type="pct"/>
            <w:shd w:val="clear" w:color="auto" w:fill="FFFFFF" w:themeFill="background1"/>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394" w:type="pct"/>
            <w:gridSpan w:val="2"/>
            <w:shd w:val="clear" w:color="auto" w:fill="00B050"/>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195" w:type="pct"/>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c>
          <w:tcPr>
            <w:tcW w:w="192" w:type="pct"/>
            <w:shd w:val="clear" w:color="auto" w:fill="00B050"/>
          </w:tcPr>
          <w:p w:rsidR="00344644" w:rsidRPr="007C2BF5" w:rsidRDefault="00344644" w:rsidP="007C2BF5">
            <w:pPr>
              <w:pStyle w:val="BodyText"/>
              <w:spacing w:before="100" w:beforeAutospacing="1" w:after="100" w:afterAutospacing="1"/>
              <w:jc w:val="left"/>
              <w:rPr>
                <w:rFonts w:eastAsia="Calibri"/>
                <w:sz w:val="20"/>
                <w:szCs w:val="20"/>
                <w:lang w:val="en-GB" w:eastAsia="en-GB"/>
              </w:rPr>
            </w:pPr>
          </w:p>
        </w:tc>
      </w:tr>
    </w:tbl>
    <w:p w:rsidR="00701938" w:rsidRDefault="00701938" w:rsidP="00701938">
      <w:pPr>
        <w:pStyle w:val="BodyText"/>
        <w:rPr>
          <w:highlight w:val="yellow"/>
        </w:rPr>
      </w:pPr>
    </w:p>
    <w:p w:rsidR="00081DE6" w:rsidRPr="00081DE6" w:rsidRDefault="00701938" w:rsidP="00344644">
      <w:pPr>
        <w:pStyle w:val="BodyText"/>
        <w:rPr>
          <w:lang w:eastAsia="en-US"/>
        </w:rPr>
      </w:pPr>
      <w:r w:rsidRPr="00CA35CB">
        <w:t>Note that there are several architectures for which the assessment of the key features depends on the data used for the reference station or the integrity monitoring. For instance, for the “Hybrid Centralised” solution, the assessment of the “Local effects impact corrections” depends on which corrections are finally transmitted to the users: the corrections generated by the decentralised DGNSS solution or by the centralised EGNOS based architecture. In that case, the corresponding cell has been split to account for the two possible options.</w:t>
      </w:r>
    </w:p>
    <w:p w:rsidR="009260AA" w:rsidRPr="00B978B4" w:rsidRDefault="009260AA" w:rsidP="009260AA">
      <w:pPr>
        <w:sectPr w:rsidR="009260AA" w:rsidRPr="00B978B4" w:rsidSect="00BA25D5">
          <w:pgSz w:w="16840" w:h="11907" w:orient="landscape" w:code="9"/>
          <w:pgMar w:top="1191" w:right="1440" w:bottom="1474" w:left="1440" w:header="709" w:footer="437" w:gutter="0"/>
          <w:cols w:space="708"/>
          <w:docGrid w:linePitch="360"/>
        </w:sectPr>
      </w:pPr>
    </w:p>
    <w:p w:rsidR="009260AA" w:rsidRDefault="00F01601" w:rsidP="009260AA">
      <w:pPr>
        <w:pStyle w:val="AnnexHeading1"/>
      </w:pPr>
      <w:r>
        <w:lastRenderedPageBreak/>
        <w:t xml:space="preserve">EGNOS OVER AIS: </w:t>
      </w:r>
      <w:r w:rsidR="009260AA">
        <w:t xml:space="preserve">DESCRIPTION OF </w:t>
      </w:r>
      <w:r>
        <w:t>THE MOST RELEVANT ARCHITECTURES</w:t>
      </w:r>
    </w:p>
    <w:p w:rsidR="00F01601" w:rsidRPr="004A557A" w:rsidRDefault="00F01601" w:rsidP="00F01601">
      <w:pPr>
        <w:pStyle w:val="BodyText"/>
      </w:pPr>
      <w:r>
        <w:t xml:space="preserve">A </w:t>
      </w:r>
      <w:r w:rsidRPr="00EA4CBB">
        <w:t>detailed</w:t>
      </w:r>
      <w:r w:rsidRPr="00EA4CBB" w:rsidDel="00614937">
        <w:t xml:space="preserve"> </w:t>
      </w:r>
      <w:r w:rsidRPr="00EA4CBB">
        <w:t>assessment</w:t>
      </w:r>
      <w:r w:rsidRPr="00EA4CBB" w:rsidDel="00614937">
        <w:t xml:space="preserve"> of several architectures </w:t>
      </w:r>
      <w:r>
        <w:t xml:space="preserve">for the transmission of EGNOS correction over AIS </w:t>
      </w:r>
      <w:r w:rsidDel="00614937">
        <w:t xml:space="preserve">has been </w:t>
      </w:r>
      <w:r>
        <w:t>performed</w:t>
      </w:r>
      <w:r w:rsidDel="00614937">
        <w:t>.</w:t>
      </w:r>
      <w:r>
        <w:t xml:space="preserve"> </w:t>
      </w:r>
      <w:r w:rsidR="00DA30F7">
        <w:t>The objective of this analysis was to identify those EGNOS based architectures with the largest potential to be introduced in an operational environment</w:t>
      </w:r>
      <w:r>
        <w:t xml:space="preserve">. </w:t>
      </w:r>
    </w:p>
    <w:p w:rsidR="005A65F2" w:rsidRPr="004A557A" w:rsidRDefault="005A65F2" w:rsidP="005A65F2">
      <w:pPr>
        <w:jc w:val="both"/>
        <w:rPr>
          <w:rFonts w:asciiTheme="minorHAnsi" w:hAnsiTheme="minorHAnsi"/>
        </w:rPr>
      </w:pPr>
      <w:r w:rsidRPr="004A557A">
        <w:rPr>
          <w:rFonts w:asciiTheme="minorHAnsi" w:hAnsiTheme="minorHAnsi"/>
        </w:rPr>
        <w:t>Two general architectures for the provision of EGNOS corrections via AIS have been analysed:</w:t>
      </w:r>
    </w:p>
    <w:p w:rsidR="005A65F2" w:rsidRPr="004A557A" w:rsidRDefault="005A65F2" w:rsidP="005A65F2">
      <w:pPr>
        <w:pStyle w:val="ListParagraph"/>
        <w:numPr>
          <w:ilvl w:val="0"/>
          <w:numId w:val="13"/>
        </w:numPr>
        <w:shd w:val="clear" w:color="auto" w:fill="FFFFFF" w:themeFill="background1"/>
        <w:jc w:val="both"/>
        <w:rPr>
          <w:rFonts w:asciiTheme="minorHAnsi" w:hAnsiTheme="minorHAnsi"/>
        </w:rPr>
      </w:pPr>
      <w:r w:rsidRPr="004A557A">
        <w:rPr>
          <w:rFonts w:asciiTheme="minorHAnsi" w:hAnsiTheme="minorHAnsi"/>
        </w:rPr>
        <w:t xml:space="preserve">EGNOS based DGNSS solution over </w:t>
      </w:r>
      <w:r w:rsidRPr="004A557A">
        <w:rPr>
          <w:rFonts w:asciiTheme="minorHAnsi" w:hAnsiTheme="minorHAnsi"/>
          <w:b/>
        </w:rPr>
        <w:t>decentralised</w:t>
      </w:r>
      <w:r w:rsidRPr="004A557A">
        <w:rPr>
          <w:rFonts w:asciiTheme="minorHAnsi" w:hAnsiTheme="minorHAnsi"/>
        </w:rPr>
        <w:t xml:space="preserve"> AIS service, where the corrections are generated by an external component to each base </w:t>
      </w:r>
      <w:proofErr w:type="gramStart"/>
      <w:r w:rsidRPr="004A557A">
        <w:rPr>
          <w:rFonts w:asciiTheme="minorHAnsi" w:hAnsiTheme="minorHAnsi"/>
        </w:rPr>
        <w:t>station, that</w:t>
      </w:r>
      <w:proofErr w:type="gramEnd"/>
      <w:r w:rsidRPr="004A557A">
        <w:rPr>
          <w:rFonts w:asciiTheme="minorHAnsi" w:hAnsiTheme="minorHAnsi"/>
        </w:rPr>
        <w:t xml:space="preserve"> receives the EGNOS messages and GPS ephemeris from EDAS or the EGNOS SIS, and converts these corrections into RTCM format</w:t>
      </w:r>
      <w:r w:rsidR="00590CFF">
        <w:rPr>
          <w:rFonts w:asciiTheme="minorHAnsi" w:hAnsiTheme="minorHAnsi"/>
        </w:rPr>
        <w:t>.</w:t>
      </w:r>
    </w:p>
    <w:p w:rsidR="005A65F2" w:rsidRPr="004A557A" w:rsidRDefault="005A65F2" w:rsidP="005A65F2">
      <w:pPr>
        <w:pStyle w:val="ListParagraph"/>
        <w:numPr>
          <w:ilvl w:val="0"/>
          <w:numId w:val="13"/>
        </w:numPr>
        <w:shd w:val="clear" w:color="auto" w:fill="FFFFFF" w:themeFill="background1"/>
        <w:jc w:val="both"/>
        <w:rPr>
          <w:rFonts w:asciiTheme="minorHAnsi" w:hAnsiTheme="minorHAnsi"/>
        </w:rPr>
      </w:pPr>
      <w:r w:rsidRPr="004A557A">
        <w:rPr>
          <w:rFonts w:asciiTheme="minorHAnsi" w:hAnsiTheme="minorHAnsi"/>
        </w:rPr>
        <w:t xml:space="preserve">EGNOS based DGNSS solution over </w:t>
      </w:r>
      <w:r w:rsidRPr="004A557A">
        <w:rPr>
          <w:rFonts w:asciiTheme="minorHAnsi" w:hAnsiTheme="minorHAnsi"/>
          <w:b/>
        </w:rPr>
        <w:t>centralised</w:t>
      </w:r>
      <w:r w:rsidRPr="004A557A">
        <w:rPr>
          <w:rFonts w:asciiTheme="minorHAnsi" w:hAnsiTheme="minorHAnsi"/>
        </w:rPr>
        <w:t xml:space="preserve"> AIS service, where the corrections are generated in a central facility (ASM) and distribute it to the different AIS base stations</w:t>
      </w:r>
      <w:r w:rsidR="00590CFF">
        <w:rPr>
          <w:rFonts w:asciiTheme="minorHAnsi" w:hAnsiTheme="minorHAnsi"/>
        </w:rPr>
        <w:t>.</w:t>
      </w:r>
    </w:p>
    <w:p w:rsidR="005A65F2" w:rsidRPr="004A557A" w:rsidRDefault="005A65F2" w:rsidP="005A65F2">
      <w:pPr>
        <w:jc w:val="both"/>
        <w:rPr>
          <w:rFonts w:asciiTheme="minorHAnsi" w:hAnsiTheme="minorHAnsi"/>
        </w:rPr>
      </w:pPr>
    </w:p>
    <w:p w:rsidR="004A557A" w:rsidRPr="004A557A" w:rsidRDefault="004A557A" w:rsidP="004A557A">
      <w:pPr>
        <w:jc w:val="both"/>
        <w:rPr>
          <w:rFonts w:asciiTheme="minorHAnsi" w:hAnsiTheme="minorHAnsi"/>
        </w:rPr>
      </w:pPr>
      <w:r w:rsidRPr="004A557A">
        <w:rPr>
          <w:rFonts w:asciiTheme="minorHAnsi" w:hAnsiTheme="minorHAnsi"/>
        </w:rPr>
        <w:t xml:space="preserve">Then, </w:t>
      </w:r>
      <w:r>
        <w:rPr>
          <w:rFonts w:asciiTheme="minorHAnsi" w:hAnsiTheme="minorHAnsi"/>
        </w:rPr>
        <w:t>a</w:t>
      </w:r>
      <w:r w:rsidRPr="004A557A">
        <w:rPr>
          <w:rFonts w:asciiTheme="minorHAnsi" w:hAnsiTheme="minorHAnsi"/>
        </w:rPr>
        <w:t xml:space="preserve"> lower level detail analysis of several </w:t>
      </w:r>
      <w:r>
        <w:rPr>
          <w:rFonts w:asciiTheme="minorHAnsi" w:hAnsiTheme="minorHAnsi"/>
        </w:rPr>
        <w:t xml:space="preserve">EGNOS based </w:t>
      </w:r>
      <w:r w:rsidRPr="004A557A">
        <w:rPr>
          <w:rFonts w:asciiTheme="minorHAnsi" w:hAnsiTheme="minorHAnsi"/>
        </w:rPr>
        <w:t>architectures has been done, comparing each architecture with respect to the baseline one</w:t>
      </w:r>
      <w:r w:rsidR="00404400">
        <w:rPr>
          <w:rFonts w:asciiTheme="minorHAnsi" w:hAnsiTheme="minorHAnsi"/>
        </w:rPr>
        <w:t xml:space="preserve"> (see section </w:t>
      </w:r>
      <w:r w:rsidR="00404400">
        <w:rPr>
          <w:rFonts w:asciiTheme="minorHAnsi" w:hAnsiTheme="minorHAnsi"/>
        </w:rPr>
        <w:fldChar w:fldCharType="begin"/>
      </w:r>
      <w:r w:rsidR="00404400">
        <w:rPr>
          <w:rFonts w:asciiTheme="minorHAnsi" w:hAnsiTheme="minorHAnsi"/>
        </w:rPr>
        <w:instrText xml:space="preserve"> REF _Ref456613171 \r \h </w:instrText>
      </w:r>
      <w:r w:rsidR="00404400">
        <w:rPr>
          <w:rFonts w:asciiTheme="minorHAnsi" w:hAnsiTheme="minorHAnsi"/>
        </w:rPr>
      </w:r>
      <w:r w:rsidR="00404400">
        <w:rPr>
          <w:rFonts w:asciiTheme="minorHAnsi" w:hAnsiTheme="minorHAnsi"/>
        </w:rPr>
        <w:fldChar w:fldCharType="separate"/>
      </w:r>
      <w:r w:rsidR="00E15EEB">
        <w:rPr>
          <w:rFonts w:asciiTheme="minorHAnsi" w:hAnsiTheme="minorHAnsi"/>
        </w:rPr>
        <w:t>2.1</w:t>
      </w:r>
      <w:r w:rsidR="00404400">
        <w:rPr>
          <w:rFonts w:asciiTheme="minorHAnsi" w:hAnsiTheme="minorHAnsi"/>
        </w:rPr>
        <w:fldChar w:fldCharType="end"/>
      </w:r>
      <w:r w:rsidR="00404400">
        <w:rPr>
          <w:rFonts w:asciiTheme="minorHAnsi" w:hAnsiTheme="minorHAnsi"/>
        </w:rPr>
        <w:t>)</w:t>
      </w:r>
      <w:r w:rsidRPr="004A557A">
        <w:rPr>
          <w:rFonts w:asciiTheme="minorHAnsi" w:hAnsiTheme="minorHAnsi"/>
        </w:rPr>
        <w:t>. In this trade-off analysis, the following key features have been considered:</w:t>
      </w:r>
    </w:p>
    <w:p w:rsidR="004A557A" w:rsidRPr="004A557A" w:rsidRDefault="004A557A" w:rsidP="004A557A">
      <w:pPr>
        <w:pStyle w:val="ListParagraph"/>
        <w:numPr>
          <w:ilvl w:val="0"/>
          <w:numId w:val="27"/>
        </w:numPr>
        <w:jc w:val="both"/>
        <w:rPr>
          <w:rFonts w:asciiTheme="minorHAnsi" w:hAnsiTheme="minorHAnsi"/>
        </w:rPr>
      </w:pPr>
      <w:r w:rsidRPr="004A557A">
        <w:rPr>
          <w:rFonts w:asciiTheme="minorHAnsi" w:hAnsiTheme="minorHAnsi"/>
        </w:rPr>
        <w:t>Infrastructure at site.</w:t>
      </w:r>
    </w:p>
    <w:p w:rsidR="004A557A" w:rsidRPr="004A557A" w:rsidRDefault="004A557A" w:rsidP="004A557A">
      <w:pPr>
        <w:pStyle w:val="ListParagraph"/>
        <w:numPr>
          <w:ilvl w:val="0"/>
          <w:numId w:val="27"/>
        </w:numPr>
        <w:jc w:val="both"/>
        <w:rPr>
          <w:rFonts w:asciiTheme="minorHAnsi" w:hAnsiTheme="minorHAnsi"/>
        </w:rPr>
      </w:pPr>
      <w:r w:rsidRPr="004A557A">
        <w:rPr>
          <w:rFonts w:asciiTheme="minorHAnsi" w:hAnsiTheme="minorHAnsi"/>
        </w:rPr>
        <w:t>Local effects impact corrections.</w:t>
      </w:r>
    </w:p>
    <w:p w:rsidR="004A557A" w:rsidRPr="004A557A" w:rsidRDefault="004A557A" w:rsidP="004A557A">
      <w:pPr>
        <w:pStyle w:val="ListParagraph"/>
        <w:numPr>
          <w:ilvl w:val="0"/>
          <w:numId w:val="27"/>
        </w:numPr>
        <w:jc w:val="both"/>
        <w:rPr>
          <w:rFonts w:asciiTheme="minorHAnsi" w:hAnsiTheme="minorHAnsi"/>
        </w:rPr>
      </w:pPr>
      <w:r w:rsidRPr="004A557A">
        <w:rPr>
          <w:rFonts w:asciiTheme="minorHAnsi" w:hAnsiTheme="minorHAnsi"/>
        </w:rPr>
        <w:t>Independence of corrections generation vs integrity check.</w:t>
      </w:r>
    </w:p>
    <w:p w:rsidR="004A557A" w:rsidRPr="004A557A" w:rsidRDefault="004A557A" w:rsidP="004A557A">
      <w:pPr>
        <w:pStyle w:val="ListParagraph"/>
        <w:numPr>
          <w:ilvl w:val="0"/>
          <w:numId w:val="27"/>
        </w:numPr>
        <w:jc w:val="both"/>
        <w:rPr>
          <w:rFonts w:asciiTheme="minorHAnsi" w:hAnsiTheme="minorHAnsi"/>
        </w:rPr>
      </w:pPr>
      <w:r w:rsidRPr="004A557A">
        <w:rPr>
          <w:rFonts w:asciiTheme="minorHAnsi" w:hAnsiTheme="minorHAnsi"/>
        </w:rPr>
        <w:t>Communication lines.</w:t>
      </w:r>
    </w:p>
    <w:p w:rsidR="004A557A" w:rsidRPr="004A557A" w:rsidRDefault="004A557A" w:rsidP="004A557A">
      <w:pPr>
        <w:pStyle w:val="ListParagraph"/>
        <w:numPr>
          <w:ilvl w:val="0"/>
          <w:numId w:val="27"/>
        </w:numPr>
        <w:jc w:val="both"/>
        <w:rPr>
          <w:rFonts w:asciiTheme="minorHAnsi" w:hAnsiTheme="minorHAnsi"/>
        </w:rPr>
      </w:pPr>
      <w:r w:rsidRPr="004A557A">
        <w:rPr>
          <w:rFonts w:asciiTheme="minorHAnsi" w:hAnsiTheme="minorHAnsi"/>
        </w:rPr>
        <w:t>VDL Monitoring.</w:t>
      </w:r>
    </w:p>
    <w:p w:rsidR="004A557A" w:rsidRPr="004A557A" w:rsidRDefault="004A557A" w:rsidP="004A557A">
      <w:pPr>
        <w:pStyle w:val="ListParagraph"/>
        <w:numPr>
          <w:ilvl w:val="0"/>
          <w:numId w:val="27"/>
        </w:numPr>
        <w:jc w:val="both"/>
        <w:rPr>
          <w:rFonts w:asciiTheme="minorHAnsi" w:hAnsiTheme="minorHAnsi"/>
        </w:rPr>
      </w:pPr>
      <w:r w:rsidRPr="004A557A">
        <w:rPr>
          <w:rFonts w:asciiTheme="minorHAnsi" w:hAnsiTheme="minorHAnsi"/>
        </w:rPr>
        <w:t>Redundancy.</w:t>
      </w:r>
    </w:p>
    <w:p w:rsidR="004A557A" w:rsidRPr="004A557A" w:rsidRDefault="004A557A" w:rsidP="004A557A">
      <w:pPr>
        <w:pStyle w:val="ListParagraph"/>
        <w:numPr>
          <w:ilvl w:val="0"/>
          <w:numId w:val="27"/>
        </w:numPr>
        <w:jc w:val="both"/>
        <w:rPr>
          <w:rFonts w:asciiTheme="minorHAnsi" w:hAnsiTheme="minorHAnsi"/>
        </w:rPr>
      </w:pPr>
      <w:r w:rsidRPr="004A557A">
        <w:rPr>
          <w:rFonts w:asciiTheme="minorHAnsi" w:hAnsiTheme="minorHAnsi"/>
        </w:rPr>
        <w:t>Jamming and Spoofing Resiliency.</w:t>
      </w:r>
    </w:p>
    <w:p w:rsidR="004A557A" w:rsidRPr="004A557A" w:rsidRDefault="004A557A" w:rsidP="004A557A">
      <w:pPr>
        <w:pStyle w:val="ListParagraph"/>
        <w:numPr>
          <w:ilvl w:val="0"/>
          <w:numId w:val="27"/>
        </w:numPr>
        <w:jc w:val="both"/>
        <w:rPr>
          <w:rFonts w:asciiTheme="minorHAnsi" w:hAnsiTheme="minorHAnsi"/>
        </w:rPr>
      </w:pPr>
      <w:r w:rsidRPr="004A557A">
        <w:rPr>
          <w:rFonts w:asciiTheme="minorHAnsi" w:hAnsiTheme="minorHAnsi"/>
        </w:rPr>
        <w:t>Corrections generation separated from the transmission means.</w:t>
      </w:r>
    </w:p>
    <w:p w:rsidR="004A557A" w:rsidRPr="004A557A" w:rsidRDefault="004A557A" w:rsidP="004A557A">
      <w:pPr>
        <w:pStyle w:val="ListParagraph"/>
        <w:numPr>
          <w:ilvl w:val="0"/>
          <w:numId w:val="27"/>
        </w:numPr>
        <w:jc w:val="both"/>
        <w:rPr>
          <w:rFonts w:asciiTheme="minorHAnsi" w:hAnsiTheme="minorHAnsi"/>
        </w:rPr>
      </w:pPr>
      <w:r w:rsidRPr="004A557A">
        <w:rPr>
          <w:rFonts w:asciiTheme="minorHAnsi" w:hAnsiTheme="minorHAnsi"/>
        </w:rPr>
        <w:t>Customized corrections for each AIS Base Station.</w:t>
      </w:r>
    </w:p>
    <w:p w:rsidR="004A557A" w:rsidRPr="004A557A" w:rsidRDefault="004A557A" w:rsidP="004A557A">
      <w:pPr>
        <w:pStyle w:val="ListParagraph"/>
        <w:numPr>
          <w:ilvl w:val="0"/>
          <w:numId w:val="27"/>
        </w:numPr>
        <w:jc w:val="both"/>
        <w:rPr>
          <w:rFonts w:asciiTheme="minorHAnsi" w:hAnsiTheme="minorHAnsi"/>
        </w:rPr>
      </w:pPr>
      <w:r w:rsidRPr="004A557A">
        <w:rPr>
          <w:rFonts w:asciiTheme="minorHAnsi" w:hAnsiTheme="minorHAnsi"/>
        </w:rPr>
        <w:t>Access to internal data (GNSS raw data or signal parameters) from the base or mobile station needed.</w:t>
      </w:r>
    </w:p>
    <w:p w:rsidR="004A557A" w:rsidRDefault="004A557A" w:rsidP="005A65F2">
      <w:pPr>
        <w:jc w:val="both"/>
        <w:rPr>
          <w:rFonts w:asciiTheme="minorHAnsi" w:hAnsiTheme="minorHAnsi"/>
        </w:rPr>
      </w:pPr>
    </w:p>
    <w:p w:rsidR="00F211C0" w:rsidRDefault="00F211C0" w:rsidP="00F211C0">
      <w:pPr>
        <w:pStyle w:val="BodyText"/>
      </w:pPr>
      <w:r w:rsidRPr="00526B11">
        <w:t>Among the key features used for the analysis, two of them are considered to be mandatory or highly recommended to be met by any EGNOS based architecture to be proposed for deployment in an operational environment:</w:t>
      </w:r>
    </w:p>
    <w:p w:rsidR="00F211C0" w:rsidRPr="001D7971" w:rsidRDefault="00F211C0" w:rsidP="00F211C0">
      <w:pPr>
        <w:pStyle w:val="Bullet1"/>
        <w:numPr>
          <w:ilvl w:val="0"/>
          <w:numId w:val="13"/>
        </w:numPr>
        <w:ind w:left="1134" w:hanging="567"/>
        <w:rPr>
          <w:rFonts w:ascii="Calibri" w:hAnsi="Calibri"/>
        </w:rPr>
      </w:pPr>
      <w:r w:rsidRPr="001D7971">
        <w:rPr>
          <w:rFonts w:ascii="Calibri" w:hAnsi="Calibri"/>
        </w:rPr>
        <w:t>The “</w:t>
      </w:r>
      <w:r w:rsidRPr="001D7971">
        <w:rPr>
          <w:rFonts w:ascii="Calibri" w:hAnsi="Calibri"/>
          <w:b/>
        </w:rPr>
        <w:t>independence of corrections generation vs integrity check</w:t>
      </w:r>
      <w:r w:rsidRPr="001D7971">
        <w:rPr>
          <w:rFonts w:ascii="Calibri" w:hAnsi="Calibri"/>
        </w:rPr>
        <w:t xml:space="preserve">” feature comes from an IALA </w:t>
      </w:r>
      <w:proofErr w:type="gramStart"/>
      <w:r w:rsidRPr="001D7971">
        <w:rPr>
          <w:rFonts w:ascii="Calibri" w:hAnsi="Calibri"/>
        </w:rPr>
        <w:t>recommendation</w:t>
      </w:r>
      <w:proofErr w:type="gramEnd"/>
      <w:r w:rsidR="00F46A86">
        <w:rPr>
          <w:rFonts w:ascii="Calibri" w:hAnsi="Calibri"/>
        </w:rPr>
        <w:fldChar w:fldCharType="begin"/>
      </w:r>
      <w:r w:rsidR="00F46A86">
        <w:rPr>
          <w:rFonts w:ascii="Calibri" w:hAnsi="Calibri"/>
        </w:rPr>
        <w:instrText xml:space="preserve"> REF _Ref456088252 \r \h </w:instrText>
      </w:r>
      <w:r w:rsidR="00F46A86">
        <w:rPr>
          <w:rFonts w:ascii="Calibri" w:hAnsi="Calibri"/>
        </w:rPr>
      </w:r>
      <w:r w:rsidR="00F46A86">
        <w:rPr>
          <w:rFonts w:ascii="Calibri" w:hAnsi="Calibri"/>
        </w:rPr>
        <w:fldChar w:fldCharType="separate"/>
      </w:r>
      <w:r w:rsidR="00E15EEB">
        <w:rPr>
          <w:rFonts w:ascii="Calibri" w:hAnsi="Calibri"/>
        </w:rPr>
        <w:t>[6]</w:t>
      </w:r>
      <w:r w:rsidR="00F46A86">
        <w:rPr>
          <w:rFonts w:ascii="Calibri" w:hAnsi="Calibri"/>
        </w:rPr>
        <w:fldChar w:fldCharType="end"/>
      </w:r>
      <w:r w:rsidRPr="001D7971">
        <w:rPr>
          <w:rFonts w:ascii="Calibri" w:hAnsi="Calibri"/>
        </w:rPr>
        <w:t xml:space="preserve"> stating that the data used to check the data integrity shall be independent from the data used to generate the </w:t>
      </w:r>
      <w:proofErr w:type="spellStart"/>
      <w:r w:rsidRPr="001D7971">
        <w:rPr>
          <w:rFonts w:ascii="Calibri" w:hAnsi="Calibri"/>
        </w:rPr>
        <w:t>pseudorange</w:t>
      </w:r>
      <w:proofErr w:type="spellEnd"/>
      <w:r w:rsidRPr="001D7971">
        <w:rPr>
          <w:rFonts w:ascii="Calibri" w:hAnsi="Calibri"/>
        </w:rPr>
        <w:t xml:space="preserve"> corrections. </w:t>
      </w:r>
    </w:p>
    <w:p w:rsidR="00F211C0" w:rsidRDefault="00F211C0" w:rsidP="00F211C0">
      <w:pPr>
        <w:pStyle w:val="Bullet1"/>
        <w:numPr>
          <w:ilvl w:val="0"/>
          <w:numId w:val="13"/>
        </w:numPr>
        <w:ind w:left="1134" w:hanging="567"/>
      </w:pPr>
      <w:r w:rsidRPr="00B252EF">
        <w:rPr>
          <w:rFonts w:ascii="Calibri" w:hAnsi="Calibri"/>
        </w:rPr>
        <w:t xml:space="preserve">The </w:t>
      </w:r>
      <w:r w:rsidRPr="00B252EF">
        <w:rPr>
          <w:rFonts w:ascii="Calibri" w:hAnsi="Calibri"/>
          <w:b/>
        </w:rPr>
        <w:t>access to the data collected by the internal GNSS receiver</w:t>
      </w:r>
      <w:r w:rsidRPr="00B252EF">
        <w:rPr>
          <w:rFonts w:ascii="Calibri" w:hAnsi="Calibri"/>
        </w:rPr>
        <w:t xml:space="preserve">. According to the consulted information for already existing AIS infrastructures (commercial AIS base stations), access to the data collected by the internal receiver (GNSS raw data or signal parameters) is not possible without changing the interfaces of the AIS Base or Mobile Stations. On those scenarios, where the AIS infrastructure is already deployed, it is recommended to use an external receiver to collect the data needed to compute the </w:t>
      </w:r>
      <w:proofErr w:type="spellStart"/>
      <w:r w:rsidRPr="00B252EF">
        <w:rPr>
          <w:rFonts w:ascii="Calibri" w:hAnsi="Calibri"/>
        </w:rPr>
        <w:t>pseudorange</w:t>
      </w:r>
      <w:proofErr w:type="spellEnd"/>
      <w:r w:rsidRPr="00B252EF">
        <w:rPr>
          <w:rFonts w:ascii="Calibri" w:hAnsi="Calibri"/>
        </w:rPr>
        <w:t xml:space="preserve"> corrections and check the integrity. Given this limitation, the architectures for those cases where already existing infrastructures cannot be (partially) reused are to be discarded.</w:t>
      </w:r>
      <w:r>
        <w:t xml:space="preserve"> </w:t>
      </w:r>
    </w:p>
    <w:p w:rsidR="004A557A" w:rsidRDefault="004A557A" w:rsidP="004A557A">
      <w:pPr>
        <w:jc w:val="both"/>
        <w:rPr>
          <w:rFonts w:asciiTheme="minorHAnsi" w:hAnsiTheme="minorHAnsi"/>
        </w:rPr>
      </w:pPr>
      <w:r w:rsidRPr="00EA3754">
        <w:rPr>
          <w:rFonts w:asciiTheme="minorHAnsi" w:hAnsiTheme="minorHAnsi"/>
        </w:rPr>
        <w:t xml:space="preserve">Taking this into account, among the </w:t>
      </w:r>
      <w:r>
        <w:rPr>
          <w:rFonts w:asciiTheme="minorHAnsi" w:hAnsiTheme="minorHAnsi"/>
        </w:rPr>
        <w:t>solutions analysed</w:t>
      </w:r>
      <w:r w:rsidRPr="00EA3754">
        <w:rPr>
          <w:rFonts w:asciiTheme="minorHAnsi" w:hAnsiTheme="minorHAnsi"/>
        </w:rPr>
        <w:t xml:space="preserve">, the ones </w:t>
      </w:r>
      <w:r>
        <w:rPr>
          <w:rFonts w:asciiTheme="minorHAnsi" w:hAnsiTheme="minorHAnsi"/>
        </w:rPr>
        <w:t>meeting</w:t>
      </w:r>
      <w:r w:rsidRPr="00EA3754">
        <w:rPr>
          <w:rFonts w:asciiTheme="minorHAnsi" w:hAnsiTheme="minorHAnsi"/>
        </w:rPr>
        <w:t xml:space="preserve"> the mandatory features and recommendations mentioned above are:</w:t>
      </w:r>
    </w:p>
    <w:p w:rsidR="004A557A" w:rsidRPr="004A557A" w:rsidRDefault="004A557A" w:rsidP="004A557A">
      <w:pPr>
        <w:pStyle w:val="ListParagraph"/>
        <w:numPr>
          <w:ilvl w:val="0"/>
          <w:numId w:val="13"/>
        </w:numPr>
        <w:jc w:val="both"/>
        <w:rPr>
          <w:rFonts w:asciiTheme="minorHAnsi" w:hAnsiTheme="minorHAnsi"/>
        </w:rPr>
      </w:pPr>
      <w:r w:rsidRPr="004A557A">
        <w:rPr>
          <w:rFonts w:asciiTheme="minorHAnsi" w:hAnsiTheme="minorHAnsi"/>
        </w:rPr>
        <w:t>EGNOS based DGNSS solution over decentralised AIS service</w:t>
      </w:r>
      <w:r w:rsidR="005E3BA6">
        <w:rPr>
          <w:rFonts w:asciiTheme="minorHAnsi" w:hAnsiTheme="minorHAnsi"/>
        </w:rPr>
        <w:t>.</w:t>
      </w:r>
    </w:p>
    <w:p w:rsidR="004A557A" w:rsidRPr="004A557A" w:rsidRDefault="004A557A" w:rsidP="004A557A">
      <w:pPr>
        <w:pStyle w:val="ListParagraph"/>
        <w:numPr>
          <w:ilvl w:val="0"/>
          <w:numId w:val="13"/>
        </w:numPr>
        <w:jc w:val="both"/>
        <w:rPr>
          <w:rFonts w:asciiTheme="minorHAnsi" w:hAnsiTheme="minorHAnsi"/>
        </w:rPr>
      </w:pPr>
      <w:r w:rsidRPr="004A557A">
        <w:rPr>
          <w:rFonts w:asciiTheme="minorHAnsi" w:hAnsiTheme="minorHAnsi"/>
        </w:rPr>
        <w:t xml:space="preserve">EGNOS based DGNSS solution over </w:t>
      </w:r>
      <w:r>
        <w:rPr>
          <w:rFonts w:asciiTheme="minorHAnsi" w:hAnsiTheme="minorHAnsi"/>
        </w:rPr>
        <w:t>c</w:t>
      </w:r>
      <w:r w:rsidRPr="004A557A">
        <w:rPr>
          <w:rFonts w:asciiTheme="minorHAnsi" w:hAnsiTheme="minorHAnsi"/>
        </w:rPr>
        <w:t>entralised AIS service</w:t>
      </w:r>
      <w:r w:rsidR="005E3BA6">
        <w:rPr>
          <w:rFonts w:asciiTheme="minorHAnsi" w:hAnsiTheme="minorHAnsi"/>
        </w:rPr>
        <w:t>.</w:t>
      </w:r>
    </w:p>
    <w:p w:rsidR="004A557A" w:rsidRPr="004A557A" w:rsidRDefault="004A557A" w:rsidP="004A557A">
      <w:pPr>
        <w:jc w:val="both"/>
        <w:rPr>
          <w:rFonts w:asciiTheme="minorHAnsi" w:hAnsiTheme="minorHAnsi"/>
        </w:rPr>
      </w:pPr>
    </w:p>
    <w:p w:rsidR="004A557A" w:rsidRDefault="004A557A" w:rsidP="004A557A">
      <w:pPr>
        <w:pStyle w:val="BodyText"/>
      </w:pPr>
      <w:r>
        <w:t xml:space="preserve">The best alternative to be selected for each case will depend on the type of service provided and on the operational scenario under analysis. Hence, specific analysis would be required to conclude on the best EGNOS based AIS service architecture for each specific scenario (infrastructure deployed, operational requirements, service performance requirements, topology of the deployed AIS service, </w:t>
      </w:r>
      <w:proofErr w:type="spellStart"/>
      <w:r>
        <w:t>etc</w:t>
      </w:r>
      <w:proofErr w:type="spellEnd"/>
      <w:r>
        <w:t>)-</w:t>
      </w:r>
    </w:p>
    <w:p w:rsidR="004A557A" w:rsidRPr="00B252EF" w:rsidRDefault="004A557A" w:rsidP="004A557A">
      <w:pPr>
        <w:jc w:val="both"/>
        <w:rPr>
          <w:rFonts w:asciiTheme="minorHAnsi" w:hAnsiTheme="minorHAnsi"/>
        </w:rPr>
      </w:pPr>
      <w:r w:rsidRPr="00B252EF">
        <w:rPr>
          <w:rFonts w:asciiTheme="minorHAnsi" w:hAnsiTheme="minorHAnsi"/>
        </w:rPr>
        <w:lastRenderedPageBreak/>
        <w:t xml:space="preserve">In case the AIS shore infrastructure is developed from scratch, the base stations can be customised and equipped with additional functionalities (technically, cost impact unknown at this stage). </w:t>
      </w:r>
    </w:p>
    <w:p w:rsidR="00B252EF" w:rsidRDefault="00B252EF" w:rsidP="00F01601">
      <w:pPr>
        <w:pStyle w:val="BodyText"/>
      </w:pPr>
    </w:p>
    <w:p w:rsidR="00F01601" w:rsidRDefault="00F01601" w:rsidP="00A37C89">
      <w:pPr>
        <w:pStyle w:val="AnnexHeading1"/>
        <w:numPr>
          <w:ilvl w:val="1"/>
          <w:numId w:val="17"/>
        </w:numPr>
      </w:pPr>
      <w:bookmarkStart w:id="17" w:name="_Ref456613171"/>
      <w:r w:rsidRPr="008342DD">
        <w:t xml:space="preserve">Baseline IALA </w:t>
      </w:r>
      <w:r>
        <w:t xml:space="preserve">AIS </w:t>
      </w:r>
      <w:r w:rsidRPr="008342DD">
        <w:t>architecture</w:t>
      </w:r>
      <w:bookmarkEnd w:id="17"/>
    </w:p>
    <w:p w:rsidR="0044382E" w:rsidRDefault="0044382E" w:rsidP="0044382E">
      <w:pPr>
        <w:pStyle w:val="BodyText"/>
      </w:pPr>
      <w:r>
        <w:t>For a better understanding of the added value of the SBAS based solutions considered and its potential drawbacks/limitations, a comparison with respect to an arbitrary baseline architecture, where SBAS is not used, is provided</w:t>
      </w:r>
      <w:r w:rsidRPr="007D2337">
        <w:t xml:space="preserve">. </w:t>
      </w:r>
      <w:r>
        <w:t>This choice (discarding non SBAS based architectures for the trade-off) has been made under the assumption that the ultimate goal of the study was to analyse the added value that SBAS could provide for the provision of DGNSS corrections over AIS (not to identify improvements to the current baseline solutions not including the use of SBAS).</w:t>
      </w:r>
    </w:p>
    <w:p w:rsidR="00B7782D" w:rsidRDefault="0044382E" w:rsidP="0044382E">
      <w:pPr>
        <w:pStyle w:val="BodyText"/>
      </w:pPr>
      <w:r w:rsidRPr="007D2337">
        <w:t>Th</w:t>
      </w:r>
      <w:r>
        <w:t>e</w:t>
      </w:r>
      <w:r w:rsidRPr="007D2337">
        <w:t xml:space="preserve"> arbitrary baseline architecture for the provision of DGNSS corrections over AIS has been defined as an AIS </w:t>
      </w:r>
      <w:r>
        <w:t>service</w:t>
      </w:r>
      <w:r w:rsidRPr="007D2337">
        <w:t xml:space="preserve">, getting the </w:t>
      </w:r>
      <w:proofErr w:type="spellStart"/>
      <w:r w:rsidRPr="007D2337">
        <w:t>pseudorange</w:t>
      </w:r>
      <w:proofErr w:type="spellEnd"/>
      <w:r w:rsidRPr="007D2337">
        <w:t xml:space="preserve"> corrections in RTCM format (including integrity) from a traditional DGNSS reference station. It is also assumed that standard communication lines are available at the base station. These baseline has been selected under the understanding that it is the typical (or one of the most common) set-up used today to provid</w:t>
      </w:r>
      <w:r>
        <w:t>e DGNSS corrections over AIS.</w:t>
      </w:r>
    </w:p>
    <w:p w:rsidR="00B7782D" w:rsidRDefault="00B7782D" w:rsidP="00B7782D">
      <w:pPr>
        <w:keepNext/>
        <w:ind w:left="360"/>
        <w:jc w:val="center"/>
      </w:pPr>
      <w:r>
        <w:rPr>
          <w:noProof/>
          <w:lang w:val="en-IE" w:eastAsia="en-IE"/>
        </w:rPr>
        <w:drawing>
          <wp:inline distT="0" distB="0" distL="0" distR="0" wp14:anchorId="5B0A04DA" wp14:editId="2A6911D7">
            <wp:extent cx="5330180" cy="3236181"/>
            <wp:effectExtent l="0" t="0" r="4445" b="254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S_BaseStation.jpg"/>
                    <pic:cNvPicPr/>
                  </pic:nvPicPr>
                  <pic:blipFill>
                    <a:blip r:embed="rId17">
                      <a:extLst>
                        <a:ext uri="{28A0092B-C50C-407E-A947-70E740481C1C}">
                          <a14:useLocalDpi xmlns:a14="http://schemas.microsoft.com/office/drawing/2010/main" val="0"/>
                        </a:ext>
                      </a:extLst>
                    </a:blip>
                    <a:stretch>
                      <a:fillRect/>
                    </a:stretch>
                  </pic:blipFill>
                  <pic:spPr>
                    <a:xfrm>
                      <a:off x="0" y="0"/>
                      <a:ext cx="5333615" cy="3238267"/>
                    </a:xfrm>
                    <a:prstGeom prst="rect">
                      <a:avLst/>
                    </a:prstGeom>
                  </pic:spPr>
                </pic:pic>
              </a:graphicData>
            </a:graphic>
          </wp:inline>
        </w:drawing>
      </w:r>
    </w:p>
    <w:p w:rsidR="00B7782D" w:rsidRPr="00B7782D" w:rsidRDefault="00B7782D" w:rsidP="00B7782D">
      <w:pPr>
        <w:pStyle w:val="Figure"/>
        <w:rPr>
          <w:rFonts w:ascii="Calibri" w:hAnsi="Calibri"/>
          <w:szCs w:val="22"/>
        </w:rPr>
      </w:pPr>
      <w:bookmarkStart w:id="18" w:name="_Toc456880913"/>
      <w:bookmarkStart w:id="19" w:name="_Ref444600822"/>
      <w:r w:rsidRPr="00B7782D">
        <w:rPr>
          <w:rFonts w:ascii="Calibri" w:hAnsi="Calibri"/>
          <w:szCs w:val="22"/>
        </w:rPr>
        <w:t>Functional block diagram of an AIS base station</w:t>
      </w:r>
      <w:r>
        <w:rPr>
          <w:rFonts w:ascii="Calibri" w:hAnsi="Calibri"/>
          <w:szCs w:val="22"/>
        </w:rPr>
        <w:t xml:space="preserve"> </w:t>
      </w:r>
      <w:r>
        <w:rPr>
          <w:rFonts w:ascii="Calibri" w:hAnsi="Calibri"/>
          <w:szCs w:val="22"/>
        </w:rPr>
        <w:fldChar w:fldCharType="begin"/>
      </w:r>
      <w:r>
        <w:rPr>
          <w:rFonts w:ascii="Calibri" w:hAnsi="Calibri"/>
          <w:szCs w:val="22"/>
        </w:rPr>
        <w:instrText xml:space="preserve"> REF _Ref459272632 \r \h </w:instrText>
      </w:r>
      <w:r>
        <w:rPr>
          <w:rFonts w:ascii="Calibri" w:hAnsi="Calibri"/>
          <w:szCs w:val="22"/>
        </w:rPr>
      </w:r>
      <w:r>
        <w:rPr>
          <w:rFonts w:ascii="Calibri" w:hAnsi="Calibri"/>
          <w:szCs w:val="22"/>
        </w:rPr>
        <w:fldChar w:fldCharType="separate"/>
      </w:r>
      <w:r w:rsidR="00E15EEB">
        <w:rPr>
          <w:rFonts w:ascii="Calibri" w:hAnsi="Calibri"/>
          <w:szCs w:val="22"/>
        </w:rPr>
        <w:t>[8]</w:t>
      </w:r>
      <w:r>
        <w:rPr>
          <w:rFonts w:ascii="Calibri" w:hAnsi="Calibri"/>
          <w:szCs w:val="22"/>
        </w:rPr>
        <w:fldChar w:fldCharType="end"/>
      </w:r>
      <w:bookmarkEnd w:id="18"/>
      <w:bookmarkEnd w:id="19"/>
    </w:p>
    <w:p w:rsidR="00B7782D" w:rsidRDefault="00B7782D" w:rsidP="0044382E">
      <w:pPr>
        <w:pStyle w:val="BodyText"/>
      </w:pPr>
    </w:p>
    <w:p w:rsidR="005A65F2" w:rsidRDefault="005A65F2" w:rsidP="005A65F2">
      <w:pPr>
        <w:pStyle w:val="AnnexHeading1"/>
        <w:numPr>
          <w:ilvl w:val="1"/>
          <w:numId w:val="17"/>
        </w:numPr>
      </w:pPr>
      <w:r>
        <w:t>EGNOS based DGNSS solution over decentralised AIS service</w:t>
      </w:r>
    </w:p>
    <w:p w:rsidR="005A65F2" w:rsidRPr="00136473" w:rsidRDefault="005A65F2" w:rsidP="005A65F2">
      <w:pPr>
        <w:pStyle w:val="BodyText"/>
      </w:pPr>
      <w:r w:rsidRPr="00136473">
        <w:t xml:space="preserve">In this case, the source for the generation of the DGPS corrections to be broadcast by the AIS station is the EGNOS message (either obtained from the EGNOS SIS or from the EDAS </w:t>
      </w:r>
      <w:proofErr w:type="spellStart"/>
      <w:r w:rsidRPr="00136473">
        <w:t>SISNeT</w:t>
      </w:r>
      <w:proofErr w:type="spellEnd"/>
      <w:r w:rsidRPr="00136473">
        <w:t xml:space="preserve"> service).</w:t>
      </w:r>
    </w:p>
    <w:p w:rsidR="005A65F2" w:rsidRDefault="005A65F2" w:rsidP="005A65F2">
      <w:pPr>
        <w:pStyle w:val="BodyText"/>
      </w:pPr>
      <w:r>
        <w:t xml:space="preserve">As depicted in the figure below, the DGNSS corrections are provided as input (via a dedicated port) to the AIS Base Station, therefore, whether these corrections are received from a traditional DGNSS stations or generated based on EGNOS, is completely transparent for the AIS Base Station. Taking this into account, it is not necessary to do any change on the AIS Base Station but only on the external Reference Station and Integrity Monitoring (RS &amp; IM). </w:t>
      </w:r>
      <w:r w:rsidRPr="00136473">
        <w:t xml:space="preserve">The </w:t>
      </w:r>
      <w:r>
        <w:t xml:space="preserve">external RS shall be replaced by a </w:t>
      </w:r>
      <w:r w:rsidRPr="00136473">
        <w:t>RS software to produce the differential GPS correction taking the SBAS messages as input. This component would basically consist of an RTCA to RTCM converter</w:t>
      </w:r>
      <w:r>
        <w:t xml:space="preserve"> (see section </w:t>
      </w:r>
      <w:r>
        <w:fldChar w:fldCharType="begin"/>
      </w:r>
      <w:r>
        <w:instrText xml:space="preserve"> REF _Ref455669484 \r \h </w:instrText>
      </w:r>
      <w:r>
        <w:fldChar w:fldCharType="separate"/>
      </w:r>
      <w:r w:rsidR="00E15EEB">
        <w:t>3</w:t>
      </w:r>
      <w:r>
        <w:fldChar w:fldCharType="end"/>
      </w:r>
      <w:r>
        <w:t xml:space="preserve"> for details on this conversion)</w:t>
      </w:r>
      <w:r w:rsidRPr="00136473">
        <w:t>.</w:t>
      </w:r>
      <w:r>
        <w:t xml:space="preserve"> </w:t>
      </w:r>
      <w:r w:rsidRPr="00C10933">
        <w:t>A pre-broadcast integrity monitoring concept could be implemented to check the integrity of the differential corrections generated by the EGNOS based RS.</w:t>
      </w:r>
      <w:r w:rsidRPr="00136473">
        <w:t xml:space="preserve"> </w:t>
      </w:r>
    </w:p>
    <w:p w:rsidR="005A65F2" w:rsidRDefault="005A65F2" w:rsidP="005A65F2">
      <w:pPr>
        <w:pStyle w:val="BodyText"/>
      </w:pPr>
      <w:r w:rsidRPr="00136473">
        <w:lastRenderedPageBreak/>
        <w:t>A block diagram of the resulting RS</w:t>
      </w:r>
      <w:r>
        <w:t xml:space="preserve"> &amp; IM</w:t>
      </w:r>
      <w:r w:rsidRPr="00136473">
        <w:t>, including both HW and SW components is included hereafter.</w:t>
      </w:r>
      <w:r>
        <w:t xml:space="preserve">  It is to be noted that the SBAS message and the GPS ephemeris can be obtained from an SBAS enabled receiver or from the EDAS </w:t>
      </w:r>
      <w:proofErr w:type="spellStart"/>
      <w:r>
        <w:t>SISNeT</w:t>
      </w:r>
      <w:proofErr w:type="spellEnd"/>
      <w:r>
        <w:t xml:space="preserve"> service over the internet. Regarding the GNSS raw data needed to check integrity of the corrections, this data could be obtained from a dedicated GNSS receiver or from one of the different networks of receivers available (via internet/</w:t>
      </w:r>
      <w:proofErr w:type="spellStart"/>
      <w:r>
        <w:t>Ntrip</w:t>
      </w:r>
      <w:proofErr w:type="spellEnd"/>
      <w:r>
        <w:t xml:space="preserve">). </w:t>
      </w:r>
    </w:p>
    <w:p w:rsidR="005A65F2" w:rsidRPr="00136473" w:rsidRDefault="005A65F2" w:rsidP="005A65F2">
      <w:pPr>
        <w:pStyle w:val="BodyText"/>
      </w:pPr>
      <w:r>
        <w:t xml:space="preserve">Also, in case of using an SBAS enabled receiver to obtain the EGNOS message (instead of the EDAS </w:t>
      </w:r>
      <w:proofErr w:type="spellStart"/>
      <w:r>
        <w:t>SISNeT</w:t>
      </w:r>
      <w:proofErr w:type="spellEnd"/>
      <w:r>
        <w:t xml:space="preserve"> service), it could be considered to use the GNSS observations collected by this receiver to check the integrity of the data (note that the observations are not used to generate the differential corrections).</w:t>
      </w:r>
    </w:p>
    <w:p w:rsidR="005A65F2" w:rsidRPr="00136473" w:rsidRDefault="005A65F2" w:rsidP="005A65F2">
      <w:pPr>
        <w:keepNext/>
        <w:jc w:val="center"/>
      </w:pPr>
      <w:r>
        <w:rPr>
          <w:noProof/>
          <w:lang w:val="en-IE" w:eastAsia="en-IE"/>
        </w:rPr>
        <w:drawing>
          <wp:inline distT="0" distB="0" distL="0" distR="0" wp14:anchorId="1BDE2C24" wp14:editId="35501C0C">
            <wp:extent cx="3209925" cy="38100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NOS_based_AIS.jpg"/>
                    <pic:cNvPicPr/>
                  </pic:nvPicPr>
                  <pic:blipFill>
                    <a:blip r:embed="rId18">
                      <a:extLst>
                        <a:ext uri="{28A0092B-C50C-407E-A947-70E740481C1C}">
                          <a14:useLocalDpi xmlns:a14="http://schemas.microsoft.com/office/drawing/2010/main" val="0"/>
                        </a:ext>
                      </a:extLst>
                    </a:blip>
                    <a:stretch>
                      <a:fillRect/>
                    </a:stretch>
                  </pic:blipFill>
                  <pic:spPr>
                    <a:xfrm>
                      <a:off x="0" y="0"/>
                      <a:ext cx="3209925" cy="3810000"/>
                    </a:xfrm>
                    <a:prstGeom prst="rect">
                      <a:avLst/>
                    </a:prstGeom>
                  </pic:spPr>
                </pic:pic>
              </a:graphicData>
            </a:graphic>
          </wp:inline>
        </w:drawing>
      </w:r>
    </w:p>
    <w:p w:rsidR="005A65F2" w:rsidRPr="00A52E7F" w:rsidRDefault="005A65F2" w:rsidP="005A65F2">
      <w:pPr>
        <w:pStyle w:val="Figure"/>
        <w:rPr>
          <w:rFonts w:ascii="Calibri" w:hAnsi="Calibri"/>
          <w:lang w:val="de-DE"/>
        </w:rPr>
      </w:pPr>
      <w:r w:rsidRPr="00A52E7F">
        <w:rPr>
          <w:rFonts w:ascii="Calibri" w:hAnsi="Calibri"/>
          <w:lang w:val="de-DE"/>
        </w:rPr>
        <w:t>EGNOS based AIS station: RS &amp; IM block diagram</w:t>
      </w:r>
    </w:p>
    <w:p w:rsidR="005A65F2" w:rsidRDefault="005A65F2" w:rsidP="005A65F2">
      <w:pPr>
        <w:pStyle w:val="BodyText"/>
      </w:pPr>
      <w:r w:rsidRPr="00136473">
        <w:t>The corrections generated by the RTCA to RTCM converter will be provided to the</w:t>
      </w:r>
      <w:r>
        <w:t xml:space="preserve"> AIS</w:t>
      </w:r>
      <w:r w:rsidRPr="00136473">
        <w:t xml:space="preserve"> Controller Unit in RTCM format</w:t>
      </w:r>
      <w:r>
        <w:t xml:space="preserve"> (via a dedicated input port)</w:t>
      </w:r>
      <w:r w:rsidRPr="00136473">
        <w:t xml:space="preserve">. Therefore, there will be no change with respect to the current interface, being the Controller Unit in charge of converting the RTCM message into VDL Message Type 17 format. </w:t>
      </w:r>
      <w:r>
        <w:t>As detailed above, i</w:t>
      </w:r>
      <w:r w:rsidRPr="00136473">
        <w:t xml:space="preserve">t is important to remark that this solution is completely transparent for the base station itself, since it receives the corrections in RTCM format regardless they are generated by a traditional reference station or converted from the EGNOS message to RTCM format. </w:t>
      </w:r>
    </w:p>
    <w:p w:rsidR="005A65F2" w:rsidRDefault="005A65F2" w:rsidP="005A65F2">
      <w:pPr>
        <w:pStyle w:val="BodyText"/>
      </w:pPr>
    </w:p>
    <w:p w:rsidR="005A65F2" w:rsidRDefault="005A65F2" w:rsidP="005A65F2">
      <w:pPr>
        <w:pStyle w:val="BodyText"/>
      </w:pPr>
      <w:r w:rsidRPr="00787BB6">
        <w:t xml:space="preserve">Finally, it is important to remark that the provision of DGNSS corrections is not a core functionality of the AIS system, just an optional message that could be transmitted through the MT17. Therefore, the VDL channel monitoring does not depend on the transmission or not of this message. For that reason, for the design of the </w:t>
      </w:r>
      <w:r>
        <w:t xml:space="preserve">high level </w:t>
      </w:r>
      <w:r w:rsidRPr="00787BB6">
        <w:t>architectures presented in this paper</w:t>
      </w:r>
      <w:r>
        <w:t xml:space="preserve"> </w:t>
      </w:r>
      <w:r w:rsidRPr="00787BB6">
        <w:t>(decentralised and centralised), the monitoring of the VDL channel has not been taken into account.</w:t>
      </w:r>
    </w:p>
    <w:p w:rsidR="00B252EF" w:rsidRPr="00136473" w:rsidRDefault="00B252EF" w:rsidP="005A65F2">
      <w:pPr>
        <w:pStyle w:val="BodyText"/>
      </w:pPr>
    </w:p>
    <w:p w:rsidR="005A65F2" w:rsidRDefault="005A65F2" w:rsidP="00404400">
      <w:pPr>
        <w:pStyle w:val="AnnexHeading1"/>
        <w:keepNext/>
        <w:numPr>
          <w:ilvl w:val="1"/>
          <w:numId w:val="17"/>
        </w:numPr>
      </w:pPr>
      <w:r>
        <w:t>EGNOS based DGNSS solution over Centralised AIS service</w:t>
      </w:r>
    </w:p>
    <w:p w:rsidR="005A65F2" w:rsidRPr="00136473" w:rsidRDefault="005A65F2" w:rsidP="005A65F2">
      <w:pPr>
        <w:pStyle w:val="BodyText"/>
      </w:pPr>
      <w:r>
        <w:t>A</w:t>
      </w:r>
      <w:r w:rsidRPr="00136473">
        <w:t xml:space="preserve">lthough it is possible to generate the Message Type 17 in an “isolated” base station, the most common solution for the provision of DGNSS corrections via AIS is to generate the Message Type 17 in a central facility (ASM) and distribute it to the different AIS base stations.  </w:t>
      </w:r>
    </w:p>
    <w:p w:rsidR="005A65F2" w:rsidRPr="00136473" w:rsidRDefault="005A65F2" w:rsidP="005A65F2">
      <w:pPr>
        <w:pStyle w:val="BodyText"/>
      </w:pPr>
      <w:r w:rsidRPr="00136473">
        <w:lastRenderedPageBreak/>
        <w:t xml:space="preserve">As depicted in the following figure, the DGNSS correction data from the reference station(s) is encapsulated in an IEC 61162 VDM sentence (discarding the preamble and parity fields) by the AIS Logical Shore Station (AIS-LSS) for processing by the AIS PSS Controlling Unit (AIS-PCU). The Message Type 17 generated by the Logical Shore Station is then provided to each base station and finally transmitted to the users through the VDL channel. </w:t>
      </w:r>
    </w:p>
    <w:p w:rsidR="005A65F2" w:rsidRPr="00136473" w:rsidRDefault="005A65F2" w:rsidP="005A65F2">
      <w:pPr>
        <w:tabs>
          <w:tab w:val="left" w:pos="8100"/>
        </w:tabs>
        <w:rPr>
          <w:highlight w:val="yellow"/>
        </w:rPr>
      </w:pPr>
    </w:p>
    <w:p w:rsidR="005A65F2" w:rsidRPr="00136473" w:rsidRDefault="005A65F2" w:rsidP="005A65F2">
      <w:pPr>
        <w:keepNext/>
        <w:tabs>
          <w:tab w:val="left" w:pos="8100"/>
        </w:tabs>
        <w:jc w:val="center"/>
      </w:pPr>
      <w:r>
        <w:rPr>
          <w:noProof/>
          <w:lang w:val="en-IE" w:eastAsia="en-IE"/>
        </w:rPr>
        <w:drawing>
          <wp:inline distT="0" distB="0" distL="0" distR="0" wp14:anchorId="5D50D053" wp14:editId="0054E370">
            <wp:extent cx="5400675" cy="2847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GNSS_Centralised.jpg"/>
                    <pic:cNvPicPr/>
                  </pic:nvPicPr>
                  <pic:blipFill>
                    <a:blip r:embed="rId19">
                      <a:extLst>
                        <a:ext uri="{28A0092B-C50C-407E-A947-70E740481C1C}">
                          <a14:useLocalDpi xmlns:a14="http://schemas.microsoft.com/office/drawing/2010/main" val="0"/>
                        </a:ext>
                      </a:extLst>
                    </a:blip>
                    <a:stretch>
                      <a:fillRect/>
                    </a:stretch>
                  </pic:blipFill>
                  <pic:spPr>
                    <a:xfrm>
                      <a:off x="0" y="0"/>
                      <a:ext cx="5400675" cy="2847975"/>
                    </a:xfrm>
                    <a:prstGeom prst="rect">
                      <a:avLst/>
                    </a:prstGeom>
                  </pic:spPr>
                </pic:pic>
              </a:graphicData>
            </a:graphic>
          </wp:inline>
        </w:drawing>
      </w:r>
    </w:p>
    <w:p w:rsidR="005A65F2" w:rsidRPr="00A37C89" w:rsidRDefault="005A65F2" w:rsidP="005A65F2">
      <w:pPr>
        <w:pStyle w:val="Figure"/>
        <w:rPr>
          <w:rFonts w:ascii="Calibri" w:hAnsi="Calibri"/>
        </w:rPr>
      </w:pPr>
      <w:r w:rsidRPr="00A37C89">
        <w:rPr>
          <w:rFonts w:ascii="Calibri" w:hAnsi="Calibri"/>
        </w:rPr>
        <w:t>Traditional DGNSS over AIS Centralised solution</w:t>
      </w:r>
    </w:p>
    <w:p w:rsidR="005A65F2" w:rsidRPr="00A37C89" w:rsidRDefault="005A65F2" w:rsidP="005A65F2">
      <w:pPr>
        <w:pStyle w:val="BodyText"/>
      </w:pPr>
    </w:p>
    <w:p w:rsidR="005A65F2" w:rsidRPr="00136473" w:rsidRDefault="005A65F2" w:rsidP="005A65F2">
      <w:pPr>
        <w:pStyle w:val="BodyText"/>
      </w:pPr>
      <w:r w:rsidRPr="00136473">
        <w:t>Considering</w:t>
      </w:r>
      <w:r>
        <w:t xml:space="preserve"> the short coverage of the AIS base stations (within </w:t>
      </w:r>
      <w:proofErr w:type="spellStart"/>
      <w:r>
        <w:t>LoS</w:t>
      </w:r>
      <w:proofErr w:type="spellEnd"/>
      <w:r>
        <w:t xml:space="preserve"> range)</w:t>
      </w:r>
      <w:r w:rsidRPr="00136473">
        <w:t>, a set of base stations is normally distributed alongside rivers</w:t>
      </w:r>
      <w:r>
        <w:t>,</w:t>
      </w:r>
      <w:r w:rsidRPr="00136473">
        <w:t xml:space="preserve"> canals</w:t>
      </w:r>
      <w:r>
        <w:t>, coast and ports</w:t>
      </w:r>
      <w:r w:rsidRPr="00136473">
        <w:t xml:space="preserve"> to cover the whole service area. On the other hand, taking into account that the range of a DGNSS station is in the order of 200 NM, the corrections generated by a reference station are normally used to feed multiple AIS base stations. This means that the same DGNSS corrections are transmitted by several stations. This architecture is depicted in the following figure.</w:t>
      </w:r>
    </w:p>
    <w:p w:rsidR="005A65F2" w:rsidRPr="00A37C89" w:rsidRDefault="005A65F2" w:rsidP="005A65F2">
      <w:pPr>
        <w:pStyle w:val="BodyText"/>
      </w:pPr>
    </w:p>
    <w:p w:rsidR="005A65F2" w:rsidRPr="00136473" w:rsidRDefault="005A65F2" w:rsidP="005A65F2">
      <w:pPr>
        <w:keepNext/>
        <w:tabs>
          <w:tab w:val="left" w:pos="8100"/>
        </w:tabs>
        <w:jc w:val="center"/>
      </w:pPr>
      <w:r>
        <w:rPr>
          <w:noProof/>
          <w:lang w:val="en-IE" w:eastAsia="en-IE"/>
        </w:rPr>
        <w:drawing>
          <wp:inline distT="0" distB="0" distL="0" distR="0" wp14:anchorId="53A5E6A6" wp14:editId="1E8E5988">
            <wp:extent cx="5055696" cy="285997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GNSS_Routing.jpg"/>
                    <pic:cNvPicPr/>
                  </pic:nvPicPr>
                  <pic:blipFill>
                    <a:blip r:embed="rId20">
                      <a:extLst>
                        <a:ext uri="{28A0092B-C50C-407E-A947-70E740481C1C}">
                          <a14:useLocalDpi xmlns:a14="http://schemas.microsoft.com/office/drawing/2010/main" val="0"/>
                        </a:ext>
                      </a:extLst>
                    </a:blip>
                    <a:stretch>
                      <a:fillRect/>
                    </a:stretch>
                  </pic:blipFill>
                  <pic:spPr>
                    <a:xfrm>
                      <a:off x="0" y="0"/>
                      <a:ext cx="5060522" cy="2862704"/>
                    </a:xfrm>
                    <a:prstGeom prst="rect">
                      <a:avLst/>
                    </a:prstGeom>
                  </pic:spPr>
                </pic:pic>
              </a:graphicData>
            </a:graphic>
          </wp:inline>
        </w:drawing>
      </w:r>
    </w:p>
    <w:p w:rsidR="005A65F2" w:rsidRPr="00A37C89" w:rsidRDefault="005A65F2" w:rsidP="005A65F2">
      <w:pPr>
        <w:pStyle w:val="Figure"/>
        <w:rPr>
          <w:rFonts w:ascii="Calibri" w:hAnsi="Calibri"/>
        </w:rPr>
      </w:pPr>
      <w:r w:rsidRPr="00A37C89">
        <w:rPr>
          <w:rFonts w:ascii="Calibri" w:hAnsi="Calibri"/>
        </w:rPr>
        <w:t>DGNSS over AIS Network Configuration</w:t>
      </w:r>
    </w:p>
    <w:p w:rsidR="005A65F2" w:rsidRPr="00136473" w:rsidRDefault="005A65F2" w:rsidP="005A65F2">
      <w:pPr>
        <w:jc w:val="center"/>
      </w:pPr>
    </w:p>
    <w:p w:rsidR="005A65F2" w:rsidRDefault="005A65F2" w:rsidP="005A65F2">
      <w:pPr>
        <w:pStyle w:val="BodyText"/>
      </w:pPr>
      <w:r>
        <w:lastRenderedPageBreak/>
        <w:t>T</w:t>
      </w:r>
      <w:r w:rsidRPr="00136473">
        <w:t>he EGNOS corrections in RTCA format can be customized and converted into RTCM format for any location placed within the EGNOS service area. Therefore, it is possible to generate RTCM data streams customised for each AIS base station and therefore provide DGNSS corrections for short baseline lengths.</w:t>
      </w:r>
    </w:p>
    <w:p w:rsidR="005A65F2" w:rsidRPr="00136473" w:rsidRDefault="005A65F2" w:rsidP="005A65F2">
      <w:pPr>
        <w:pStyle w:val="BodyText"/>
      </w:pPr>
    </w:p>
    <w:p w:rsidR="005A65F2" w:rsidRPr="00136473" w:rsidRDefault="005A65F2" w:rsidP="005A65F2">
      <w:pPr>
        <w:pStyle w:val="BodyText"/>
      </w:pPr>
      <w:r w:rsidRPr="00136473">
        <w:t>At very high level, the architecture of this solution would consist on:</w:t>
      </w:r>
    </w:p>
    <w:p w:rsidR="005A65F2" w:rsidRPr="00A37C89" w:rsidRDefault="005A65F2" w:rsidP="005A65F2">
      <w:pPr>
        <w:pStyle w:val="List1"/>
        <w:numPr>
          <w:ilvl w:val="0"/>
          <w:numId w:val="23"/>
        </w:numPr>
        <w:tabs>
          <w:tab w:val="num" w:pos="567"/>
        </w:tabs>
        <w:ind w:left="567" w:hanging="567"/>
        <w:rPr>
          <w:rFonts w:ascii="Calibri" w:hAnsi="Calibri"/>
        </w:rPr>
      </w:pPr>
      <w:r w:rsidRPr="00A37C89">
        <w:rPr>
          <w:rFonts w:ascii="Calibri" w:hAnsi="Calibri"/>
          <w:b/>
        </w:rPr>
        <w:t>Central Facility (CF)</w:t>
      </w:r>
      <w:r w:rsidRPr="00A37C89">
        <w:rPr>
          <w:rFonts w:ascii="Calibri" w:hAnsi="Calibri"/>
        </w:rPr>
        <w:t>, responsible for the generation of the PRC corrections (including integrity).</w:t>
      </w:r>
    </w:p>
    <w:p w:rsidR="005A65F2" w:rsidRPr="00A37C89" w:rsidRDefault="005A65F2" w:rsidP="005A65F2">
      <w:pPr>
        <w:pStyle w:val="List1"/>
        <w:numPr>
          <w:ilvl w:val="0"/>
          <w:numId w:val="23"/>
        </w:numPr>
        <w:tabs>
          <w:tab w:val="num" w:pos="567"/>
        </w:tabs>
        <w:ind w:left="567" w:hanging="567"/>
        <w:rPr>
          <w:rFonts w:ascii="Calibri" w:hAnsi="Calibri"/>
        </w:rPr>
      </w:pPr>
      <w:r w:rsidRPr="00A37C89">
        <w:rPr>
          <w:rFonts w:ascii="Calibri" w:hAnsi="Calibri"/>
          <w:b/>
        </w:rPr>
        <w:t>Monitoring Network</w:t>
      </w:r>
      <w:r w:rsidRPr="00A37C89">
        <w:rPr>
          <w:rFonts w:ascii="Calibri" w:hAnsi="Calibri"/>
        </w:rPr>
        <w:t>, providing GNSS data for the integrity monitoring check.</w:t>
      </w:r>
    </w:p>
    <w:p w:rsidR="005A65F2" w:rsidRPr="00A37C89" w:rsidRDefault="005A65F2" w:rsidP="005A65F2">
      <w:pPr>
        <w:pStyle w:val="List1"/>
        <w:numPr>
          <w:ilvl w:val="0"/>
          <w:numId w:val="23"/>
        </w:numPr>
        <w:tabs>
          <w:tab w:val="num" w:pos="567"/>
        </w:tabs>
        <w:ind w:left="567" w:hanging="567"/>
        <w:rPr>
          <w:rFonts w:ascii="Calibri" w:hAnsi="Calibri"/>
        </w:rPr>
      </w:pPr>
      <w:r w:rsidRPr="00A37C89">
        <w:rPr>
          <w:rFonts w:ascii="Calibri" w:hAnsi="Calibri"/>
          <w:b/>
        </w:rPr>
        <w:t>AIS Service Manager (ASM)</w:t>
      </w:r>
      <w:r w:rsidRPr="00A37C89">
        <w:rPr>
          <w:rFonts w:ascii="Calibri" w:hAnsi="Calibri"/>
        </w:rPr>
        <w:t xml:space="preserve">, which retrieves the EGNOS based DGNSS corrections in RTCM format and converts them in an IEC 61162 VDM sentence (discarding the preamble and parity fields) to be then distributed to the final users by the AIS base stations using the VDL channel. </w:t>
      </w:r>
    </w:p>
    <w:p w:rsidR="005A65F2" w:rsidRDefault="005A65F2" w:rsidP="005A65F2">
      <w:pPr>
        <w:jc w:val="center"/>
      </w:pPr>
      <w:r>
        <w:rPr>
          <w:noProof/>
          <w:lang w:val="en-IE" w:eastAsia="en-IE"/>
        </w:rPr>
        <w:drawing>
          <wp:inline distT="0" distB="0" distL="0" distR="0" wp14:anchorId="560D757F" wp14:editId="5D6160BA">
            <wp:extent cx="5868670" cy="256857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nosBased_Centralised.jpg"/>
                    <pic:cNvPicPr/>
                  </pic:nvPicPr>
                  <pic:blipFill>
                    <a:blip r:embed="rId21">
                      <a:extLst>
                        <a:ext uri="{28A0092B-C50C-407E-A947-70E740481C1C}">
                          <a14:useLocalDpi xmlns:a14="http://schemas.microsoft.com/office/drawing/2010/main" val="0"/>
                        </a:ext>
                      </a:extLst>
                    </a:blip>
                    <a:stretch>
                      <a:fillRect/>
                    </a:stretch>
                  </pic:blipFill>
                  <pic:spPr>
                    <a:xfrm>
                      <a:off x="0" y="0"/>
                      <a:ext cx="5868670" cy="2568575"/>
                    </a:xfrm>
                    <a:prstGeom prst="rect">
                      <a:avLst/>
                    </a:prstGeom>
                  </pic:spPr>
                </pic:pic>
              </a:graphicData>
            </a:graphic>
          </wp:inline>
        </w:drawing>
      </w:r>
    </w:p>
    <w:p w:rsidR="005A65F2" w:rsidRPr="00A37C89" w:rsidRDefault="005A65F2" w:rsidP="005A65F2">
      <w:pPr>
        <w:pStyle w:val="Figure"/>
        <w:rPr>
          <w:rFonts w:ascii="Calibri" w:hAnsi="Calibri"/>
        </w:rPr>
      </w:pPr>
      <w:r w:rsidRPr="00A37C89">
        <w:rPr>
          <w:rFonts w:ascii="Calibri" w:hAnsi="Calibri"/>
        </w:rPr>
        <w:t>EGNOS based DGNSS corrections over AIS architecture</w:t>
      </w:r>
    </w:p>
    <w:p w:rsidR="005A65F2" w:rsidRDefault="005A65F2" w:rsidP="005A65F2">
      <w:pPr>
        <w:jc w:val="both"/>
      </w:pPr>
    </w:p>
    <w:p w:rsidR="005A65F2" w:rsidRPr="00136473" w:rsidRDefault="005A65F2" w:rsidP="005A65F2">
      <w:pPr>
        <w:pStyle w:val="BodyText"/>
      </w:pPr>
      <w:r w:rsidRPr="00136473">
        <w:t xml:space="preserve">A more detailed description of each of these components is provided </w:t>
      </w:r>
      <w:r>
        <w:t>below:</w:t>
      </w:r>
    </w:p>
    <w:p w:rsidR="005A65F2" w:rsidRPr="00136473" w:rsidRDefault="005A65F2" w:rsidP="005A65F2">
      <w:pPr>
        <w:pStyle w:val="BodyText"/>
      </w:pPr>
    </w:p>
    <w:p w:rsidR="005A65F2" w:rsidRPr="00A37C89" w:rsidRDefault="005A65F2" w:rsidP="005A65F2">
      <w:pPr>
        <w:pStyle w:val="AnnexHeading1"/>
        <w:keepNext/>
        <w:numPr>
          <w:ilvl w:val="2"/>
          <w:numId w:val="17"/>
        </w:numPr>
      </w:pPr>
      <w:r w:rsidRPr="00A37C89">
        <w:t>Central Facility</w:t>
      </w:r>
    </w:p>
    <w:p w:rsidR="005A65F2" w:rsidRPr="00136473" w:rsidRDefault="005A65F2" w:rsidP="005A65F2">
      <w:pPr>
        <w:pStyle w:val="BodyText"/>
      </w:pPr>
      <w:r w:rsidRPr="00136473">
        <w:t xml:space="preserve">The Central Facility is the main component of a centralised EGNOS based DGNSS service. The primary function of the Central Facility is to compute the </w:t>
      </w:r>
      <w:proofErr w:type="spellStart"/>
      <w:r w:rsidRPr="00136473">
        <w:t>Pseudorange</w:t>
      </w:r>
      <w:proofErr w:type="spellEnd"/>
      <w:r w:rsidRPr="00136473">
        <w:t xml:space="preserve"> Corrections for all the satellites above the elevation mask. PRCs and ancillary information (e.g. antenna location) are encoded into RTCM 10402.3 and transmitted to each beacon transmitter site. </w:t>
      </w:r>
    </w:p>
    <w:p w:rsidR="005A65F2" w:rsidRPr="00136473" w:rsidRDefault="005A65F2" w:rsidP="005A65F2">
      <w:pPr>
        <w:pStyle w:val="BodyText"/>
      </w:pPr>
      <w:r w:rsidRPr="00136473">
        <w:t>The source for the generation of the DGPS corrections to be broadcast by the transmitter could be the EGNOS Signal in Space or the EGNOS messages received from EDAS.</w:t>
      </w:r>
    </w:p>
    <w:p w:rsidR="005A65F2" w:rsidRPr="00136473" w:rsidRDefault="005A65F2" w:rsidP="005A65F2">
      <w:pPr>
        <w:pStyle w:val="BodyText"/>
      </w:pPr>
      <w:r w:rsidRPr="00136473">
        <w:t>Also, in order to check t</w:t>
      </w:r>
      <w:r>
        <w:t xml:space="preserve">he integrity of the corrections </w:t>
      </w:r>
      <w:r w:rsidRPr="00136473">
        <w:t xml:space="preserve">computed based on EGNOS, the Central Facility processes the GPS raw data received from a network of GNSS receivers. This network could be a dedicated/proprietary one (set of receivers specifically deployed near the </w:t>
      </w:r>
      <w:r>
        <w:t>AIS</w:t>
      </w:r>
      <w:r w:rsidRPr="00136473">
        <w:t xml:space="preserve"> transmitters) or take advantage of the GNSS networks available.</w:t>
      </w:r>
    </w:p>
    <w:p w:rsidR="005A65F2" w:rsidRPr="00136473" w:rsidRDefault="005A65F2" w:rsidP="005A65F2">
      <w:pPr>
        <w:pStyle w:val="AnnexHeading1"/>
        <w:numPr>
          <w:ilvl w:val="2"/>
          <w:numId w:val="17"/>
        </w:numPr>
      </w:pPr>
      <w:r>
        <w:t>Monitoring</w:t>
      </w:r>
      <w:r w:rsidRPr="00136473">
        <w:t xml:space="preserve"> Network</w:t>
      </w:r>
    </w:p>
    <w:p w:rsidR="005A65F2" w:rsidRPr="00136473" w:rsidRDefault="005A65F2" w:rsidP="005A65F2">
      <w:pPr>
        <w:pStyle w:val="BodyText"/>
      </w:pPr>
      <w:r w:rsidRPr="00136473">
        <w:t>As detailed above, the Central Facility needs to have access to GPS measurements collected from a receiver located</w:t>
      </w:r>
      <w:r>
        <w:t xml:space="preserve"> within the validity area of each set of DGNSS corrections</w:t>
      </w:r>
      <w:r w:rsidRPr="00136473">
        <w:t>.</w:t>
      </w:r>
    </w:p>
    <w:p w:rsidR="005A65F2" w:rsidRPr="00136473" w:rsidRDefault="005A65F2" w:rsidP="005A65F2">
      <w:pPr>
        <w:pStyle w:val="BodyText"/>
      </w:pPr>
      <w:r w:rsidRPr="00136473">
        <w:t xml:space="preserve">One alternative is to have a dedicated </w:t>
      </w:r>
      <w:r>
        <w:t xml:space="preserve">network of </w:t>
      </w:r>
      <w:r w:rsidRPr="00136473">
        <w:t>GNSS receiver</w:t>
      </w:r>
      <w:r>
        <w:t xml:space="preserve">s. </w:t>
      </w:r>
      <w:r w:rsidRPr="00136473">
        <w:t xml:space="preserve">These receivers shall be capable of transmitting (via internet) </w:t>
      </w:r>
      <w:r>
        <w:t>the raw data collected</w:t>
      </w:r>
      <w:r w:rsidRPr="00136473">
        <w:t xml:space="preserve"> to the Central Facility.</w:t>
      </w:r>
    </w:p>
    <w:p w:rsidR="005A65F2" w:rsidRPr="00136473" w:rsidRDefault="005A65F2" w:rsidP="005A65F2">
      <w:pPr>
        <w:pStyle w:val="BodyText"/>
      </w:pPr>
      <w:r>
        <w:lastRenderedPageBreak/>
        <w:t>Another option is to get the GNSS raw data (used for the integrity monitoring) from one of the different networks of receivers available. The main disadvantage of this solution is that the Aton provider needs to rely on an external entity, so it could be necessary (service provider decision) to establish a Service Level Agreement (SLA) to guarantee the reception of the data with the quality and availability required.</w:t>
      </w:r>
    </w:p>
    <w:p w:rsidR="005A65F2" w:rsidRPr="00136473" w:rsidRDefault="005A65F2" w:rsidP="005A65F2">
      <w:pPr>
        <w:pStyle w:val="AnnexHeading1"/>
        <w:numPr>
          <w:ilvl w:val="2"/>
          <w:numId w:val="17"/>
        </w:numPr>
      </w:pPr>
      <w:r w:rsidRPr="00136473">
        <w:t>AIS Service Manager (ASM)</w:t>
      </w:r>
    </w:p>
    <w:p w:rsidR="005A65F2" w:rsidRDefault="005A65F2" w:rsidP="005A65F2">
      <w:pPr>
        <w:pStyle w:val="BodyText"/>
      </w:pPr>
      <w:r w:rsidRPr="00136473">
        <w:t xml:space="preserve">The RTCM corrections generated by the central facility are transmitted to the AIS Service Manager which converts them in an IEC 61162 VDM sentence (discarding the preamble and parity fields) to be then distributed to the final users by the AIS base stations using the VDL channel. </w:t>
      </w:r>
    </w:p>
    <w:p w:rsidR="005A65F2" w:rsidRPr="00136473" w:rsidRDefault="005A65F2" w:rsidP="005A65F2">
      <w:pPr>
        <w:pStyle w:val="BodyText"/>
      </w:pPr>
      <w:r>
        <w:t xml:space="preserve">Internally to the AIS service (ASM or LSS) each corrections set will be routed to the target AIS Base Station (AIS-PCU). </w:t>
      </w:r>
    </w:p>
    <w:p w:rsidR="005A65F2" w:rsidRPr="004A557A" w:rsidRDefault="005A65F2" w:rsidP="004A557A">
      <w:pPr>
        <w:pStyle w:val="BodyText"/>
      </w:pPr>
      <w:r w:rsidRPr="00136473">
        <w:t>It is important to remark that this component does not need to be modified with respect to a traditional DGNSS solution. All the inputs/outputs are the same and in the same format, therefore, no change is required. This means that the fact that the RTCM corrections are generated based on the EGNOS message or by a traditional DGNSS reference station is completely transparent for the ASM</w:t>
      </w:r>
      <w:r w:rsidR="004A557A">
        <w:t>.</w:t>
      </w:r>
    </w:p>
    <w:p w:rsidR="00F01601" w:rsidRDefault="00F01601" w:rsidP="006A7680">
      <w:pPr>
        <w:pStyle w:val="BodyText"/>
        <w:sectPr w:rsidR="00F01601" w:rsidSect="0082480E">
          <w:headerReference w:type="first" r:id="rId22"/>
          <w:footerReference w:type="first" r:id="rId23"/>
          <w:pgSz w:w="11906" w:h="16838"/>
          <w:pgMar w:top="1134" w:right="1134" w:bottom="1134" w:left="1134" w:header="709" w:footer="709" w:gutter="0"/>
          <w:cols w:space="708"/>
          <w:docGrid w:linePitch="360"/>
        </w:sectPr>
      </w:pPr>
    </w:p>
    <w:p w:rsidR="0044382E" w:rsidRDefault="0044382E" w:rsidP="0044382E">
      <w:pPr>
        <w:pStyle w:val="Bullet1"/>
      </w:pPr>
      <w:bookmarkStart w:id="20" w:name="_Toc445195584"/>
      <w:bookmarkStart w:id="21" w:name="_Toc446061958"/>
      <w:bookmarkStart w:id="22" w:name="_Toc445195585"/>
      <w:bookmarkStart w:id="23" w:name="_Toc445195586"/>
      <w:bookmarkStart w:id="24" w:name="_Toc444245999"/>
      <w:bookmarkStart w:id="25" w:name="_Ref454181082"/>
      <w:bookmarkStart w:id="26" w:name="_Toc454181335"/>
      <w:bookmarkEnd w:id="20"/>
      <w:bookmarkEnd w:id="21"/>
      <w:bookmarkEnd w:id="22"/>
      <w:bookmarkEnd w:id="23"/>
    </w:p>
    <w:p w:rsidR="00942121" w:rsidRPr="008342DD" w:rsidRDefault="00942121" w:rsidP="00942121">
      <w:pPr>
        <w:pStyle w:val="AnnexHeading1"/>
        <w:numPr>
          <w:ilvl w:val="1"/>
          <w:numId w:val="17"/>
        </w:numPr>
      </w:pPr>
      <w:r>
        <w:t>Trade-Off Analysis</w:t>
      </w:r>
    </w:p>
    <w:bookmarkEnd w:id="24"/>
    <w:bookmarkEnd w:id="25"/>
    <w:bookmarkEnd w:id="26"/>
    <w:p w:rsidR="00F01601" w:rsidRPr="007D2337" w:rsidRDefault="00F01601" w:rsidP="0044382E">
      <w:pPr>
        <w:pStyle w:val="BodyText"/>
      </w:pPr>
      <w:r w:rsidRPr="007D2337">
        <w:t>This assessment has been done taking into account the key features (described in</w:t>
      </w:r>
      <w:r w:rsidR="0044382E">
        <w:t xml:space="preserve"> the table below)</w:t>
      </w:r>
      <w:r w:rsidRPr="007D2337">
        <w:t xml:space="preserve"> derived from t</w:t>
      </w:r>
      <w:r w:rsidR="0044382E">
        <w:t>he</w:t>
      </w:r>
      <w:r w:rsidRPr="007D2337">
        <w:t xml:space="preserve"> baseline architecture and considering the following colour code:</w:t>
      </w:r>
    </w:p>
    <w:p w:rsidR="00F01601" w:rsidRPr="0044382E" w:rsidRDefault="00F01601" w:rsidP="00A37C89">
      <w:pPr>
        <w:pStyle w:val="Bullet1"/>
        <w:numPr>
          <w:ilvl w:val="0"/>
          <w:numId w:val="13"/>
        </w:numPr>
        <w:ind w:left="1134" w:hanging="567"/>
        <w:rPr>
          <w:rFonts w:ascii="Calibri" w:hAnsi="Calibri"/>
        </w:rPr>
      </w:pPr>
      <w:r w:rsidRPr="0044382E">
        <w:rPr>
          <w:rFonts w:ascii="Calibri" w:hAnsi="Calibri"/>
        </w:rPr>
        <w:t>Green colour: Feature improved w.r.t. the baseline.</w:t>
      </w:r>
    </w:p>
    <w:p w:rsidR="00F01601" w:rsidRPr="0044382E" w:rsidRDefault="00F01601" w:rsidP="00A37C89">
      <w:pPr>
        <w:pStyle w:val="Bullet1"/>
        <w:numPr>
          <w:ilvl w:val="0"/>
          <w:numId w:val="13"/>
        </w:numPr>
        <w:ind w:left="1134" w:hanging="567"/>
        <w:rPr>
          <w:rFonts w:ascii="Calibri" w:hAnsi="Calibri"/>
        </w:rPr>
      </w:pPr>
      <w:r w:rsidRPr="0044382E">
        <w:rPr>
          <w:rFonts w:ascii="Calibri" w:hAnsi="Calibri"/>
        </w:rPr>
        <w:t>White colour: Same as the baseline (no improvement/degradation).</w:t>
      </w:r>
    </w:p>
    <w:p w:rsidR="00F01601" w:rsidRPr="0044382E" w:rsidRDefault="00F01601" w:rsidP="00A37C89">
      <w:pPr>
        <w:pStyle w:val="Bullet1"/>
        <w:numPr>
          <w:ilvl w:val="0"/>
          <w:numId w:val="13"/>
        </w:numPr>
        <w:ind w:left="1134" w:hanging="567"/>
        <w:rPr>
          <w:rFonts w:ascii="Calibri" w:hAnsi="Calibri"/>
        </w:rPr>
      </w:pPr>
      <w:r w:rsidRPr="0044382E">
        <w:rPr>
          <w:rFonts w:ascii="Calibri" w:hAnsi="Calibri"/>
        </w:rPr>
        <w:t>Red colour: Feature degraded w.r.t. the baseline.</w:t>
      </w:r>
    </w:p>
    <w:p w:rsidR="00F01601" w:rsidRDefault="00F01601" w:rsidP="005F03AC">
      <w:pPr>
        <w:pStyle w:val="BodyText"/>
      </w:pPr>
      <w:r w:rsidRPr="007D2337">
        <w:t xml:space="preserve">It should be noted that all the architectures </w:t>
      </w:r>
      <w:r w:rsidR="005F03AC">
        <w:t>analysed</w:t>
      </w:r>
      <w:r w:rsidRPr="007D2337">
        <w:t xml:space="preserve">, provide integrity monitoring. For that reason, the “integrity monitoring” capability has not been included in </w:t>
      </w:r>
      <w:r w:rsidR="005F03AC">
        <w:t>in the trade-off analysis (see section below)</w:t>
      </w:r>
      <w:r w:rsidRPr="007D2337">
        <w:t xml:space="preserve">, since there is no difference among the architectures </w:t>
      </w:r>
      <w:r w:rsidR="005F03AC">
        <w:t>addressed</w:t>
      </w:r>
      <w:r w:rsidRPr="007D2337">
        <w:t xml:space="preserve">. </w:t>
      </w:r>
    </w:p>
    <w:p w:rsidR="005F03AC" w:rsidRPr="007A395D" w:rsidRDefault="005F03AC" w:rsidP="005F03AC">
      <w:pPr>
        <w:pStyle w:val="Table"/>
        <w:numPr>
          <w:ilvl w:val="0"/>
          <w:numId w:val="9"/>
        </w:numPr>
        <w:rPr>
          <w:rFonts w:ascii="Calibri" w:hAnsi="Calibri"/>
        </w:rPr>
      </w:pPr>
      <w:r>
        <w:rPr>
          <w:rFonts w:ascii="Calibri" w:hAnsi="Calibri"/>
        </w:rPr>
        <w:t>Key features (legend) used for the assessment</w:t>
      </w:r>
    </w:p>
    <w:tbl>
      <w:tblPr>
        <w:tblW w:w="0" w:type="auto"/>
        <w:tblCellMar>
          <w:left w:w="0" w:type="dxa"/>
          <w:right w:w="0" w:type="dxa"/>
        </w:tblCellMar>
        <w:tblLook w:val="04A0" w:firstRow="1" w:lastRow="0" w:firstColumn="1" w:lastColumn="0" w:noHBand="0" w:noVBand="1"/>
      </w:tblPr>
      <w:tblGrid>
        <w:gridCol w:w="2238"/>
        <w:gridCol w:w="2973"/>
        <w:gridCol w:w="3261"/>
        <w:gridCol w:w="2104"/>
        <w:gridCol w:w="2105"/>
        <w:gridCol w:w="2105"/>
      </w:tblGrid>
      <w:tr w:rsidR="005F03AC" w:rsidRPr="005F03AC" w:rsidTr="005F03AC">
        <w:trPr>
          <w:cantSplit/>
          <w:tblHeader/>
        </w:trPr>
        <w:tc>
          <w:tcPr>
            <w:tcW w:w="223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F01601" w:rsidRPr="005F03AC" w:rsidRDefault="00F01601" w:rsidP="005F03AC">
            <w:pPr>
              <w:pStyle w:val="BodyText"/>
              <w:jc w:val="center"/>
              <w:rPr>
                <w:b/>
              </w:rPr>
            </w:pPr>
            <w:r w:rsidRPr="005F03AC">
              <w:rPr>
                <w:b/>
              </w:rPr>
              <w:t>Key feature ID</w:t>
            </w:r>
          </w:p>
        </w:tc>
        <w:tc>
          <w:tcPr>
            <w:tcW w:w="297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F01601" w:rsidRPr="005F03AC" w:rsidRDefault="00F01601" w:rsidP="005F03AC">
            <w:pPr>
              <w:pStyle w:val="BodyText"/>
              <w:jc w:val="center"/>
              <w:rPr>
                <w:b/>
              </w:rPr>
            </w:pPr>
            <w:r w:rsidRPr="005F03AC">
              <w:rPr>
                <w:b/>
              </w:rPr>
              <w:t>Key feature</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F01601" w:rsidRPr="005F03AC" w:rsidRDefault="00F01601" w:rsidP="005F03AC">
            <w:pPr>
              <w:pStyle w:val="BodyText"/>
              <w:jc w:val="center"/>
              <w:rPr>
                <w:b/>
              </w:rPr>
            </w:pPr>
            <w:r w:rsidRPr="005F03AC">
              <w:rPr>
                <w:b/>
              </w:rPr>
              <w:t>Baseline (Current) Architecture</w:t>
            </w:r>
          </w:p>
        </w:tc>
        <w:tc>
          <w:tcPr>
            <w:tcW w:w="631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F01601" w:rsidRPr="005F03AC" w:rsidRDefault="00F01601" w:rsidP="005F03AC">
            <w:pPr>
              <w:pStyle w:val="BodyText"/>
              <w:jc w:val="center"/>
              <w:rPr>
                <w:b/>
              </w:rPr>
            </w:pPr>
            <w:r w:rsidRPr="005F03AC">
              <w:rPr>
                <w:b/>
              </w:rPr>
              <w:t>Assessment</w:t>
            </w:r>
          </w:p>
        </w:tc>
      </w:tr>
      <w:tr w:rsidR="005F03AC" w:rsidRPr="005F03AC" w:rsidTr="005F03AC">
        <w:trPr>
          <w:cantSplit/>
        </w:trPr>
        <w:tc>
          <w:tcPr>
            <w:tcW w:w="223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rPr>
            </w:pPr>
            <w:r w:rsidRPr="005F03AC">
              <w:rPr>
                <w:rFonts w:asciiTheme="minorHAnsi" w:hAnsiTheme="minorHAnsi"/>
              </w:rPr>
              <w:t>INF</w:t>
            </w:r>
          </w:p>
        </w:tc>
        <w:tc>
          <w:tcPr>
            <w:tcW w:w="297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rPr>
                <w:rFonts w:asciiTheme="minorHAnsi" w:eastAsiaTheme="minorHAnsi" w:hAnsiTheme="minorHAnsi"/>
              </w:rPr>
            </w:pPr>
            <w:r w:rsidRPr="005F03AC">
              <w:rPr>
                <w:rFonts w:asciiTheme="minorHAnsi" w:hAnsiTheme="minorHAnsi"/>
              </w:rPr>
              <w:t>Infrastructure at site</w:t>
            </w:r>
          </w:p>
        </w:tc>
        <w:tc>
          <w:tcPr>
            <w:tcW w:w="326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rPr>
                <w:rFonts w:asciiTheme="minorHAnsi" w:eastAsiaTheme="minorHAnsi" w:hAnsiTheme="minorHAnsi"/>
                <w:lang w:val="en-US"/>
              </w:rPr>
            </w:pPr>
            <w:r w:rsidRPr="005F03AC">
              <w:rPr>
                <w:rFonts w:asciiTheme="minorHAnsi" w:hAnsiTheme="minorHAnsi"/>
                <w:lang w:val="en-US"/>
              </w:rPr>
              <w:t>1 RS + 1 IM (external to the AIS Base Station)</w:t>
            </w:r>
          </w:p>
        </w:tc>
        <w:tc>
          <w:tcPr>
            <w:tcW w:w="2104" w:type="dxa"/>
            <w:tcBorders>
              <w:top w:val="single" w:sz="4" w:space="0" w:color="auto"/>
              <w:left w:val="nil"/>
              <w:bottom w:val="single" w:sz="8" w:space="0" w:color="auto"/>
              <w:right w:val="single" w:sz="8" w:space="0" w:color="auto"/>
            </w:tcBorders>
            <w:shd w:val="clear" w:color="auto" w:fill="00B050"/>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lang w:val="en-US"/>
              </w:rPr>
            </w:pPr>
            <w:r w:rsidRPr="005F03AC">
              <w:rPr>
                <w:rFonts w:asciiTheme="minorHAnsi" w:hAnsiTheme="minorHAnsi"/>
                <w:lang w:val="en-US"/>
              </w:rPr>
              <w:t>Reduced infrastructure</w:t>
            </w:r>
          </w:p>
        </w:tc>
        <w:tc>
          <w:tcPr>
            <w:tcW w:w="210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lang w:val="en-US"/>
              </w:rPr>
            </w:pPr>
            <w:r w:rsidRPr="005F03AC">
              <w:rPr>
                <w:rFonts w:asciiTheme="minorHAnsi" w:hAnsiTheme="minorHAnsi"/>
                <w:lang w:val="en-US"/>
              </w:rPr>
              <w:t>Similar infrastructure</w:t>
            </w:r>
          </w:p>
        </w:tc>
        <w:tc>
          <w:tcPr>
            <w:tcW w:w="2105" w:type="dxa"/>
            <w:tcBorders>
              <w:top w:val="single" w:sz="4" w:space="0" w:color="auto"/>
              <w:left w:val="nil"/>
              <w:bottom w:val="single" w:sz="8" w:space="0" w:color="auto"/>
              <w:right w:val="single" w:sz="8" w:space="0" w:color="auto"/>
            </w:tcBorders>
            <w:shd w:val="clear" w:color="auto" w:fill="FF0000"/>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lang w:val="en-US"/>
              </w:rPr>
            </w:pPr>
            <w:r w:rsidRPr="005F03AC">
              <w:rPr>
                <w:rFonts w:asciiTheme="minorHAnsi" w:hAnsiTheme="minorHAnsi"/>
                <w:lang w:val="en-US"/>
              </w:rPr>
              <w:t>Additional infrastructure</w:t>
            </w:r>
          </w:p>
        </w:tc>
      </w:tr>
      <w:tr w:rsidR="005F03AC" w:rsidRPr="005F03AC" w:rsidTr="005F03AC">
        <w:trPr>
          <w:cantSplit/>
        </w:trPr>
        <w:tc>
          <w:tcPr>
            <w:tcW w:w="22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rPr>
            </w:pPr>
            <w:r w:rsidRPr="005F03AC">
              <w:rPr>
                <w:rFonts w:asciiTheme="minorHAnsi" w:hAnsiTheme="minorHAnsi"/>
              </w:rPr>
              <w:t>LOC</w:t>
            </w:r>
          </w:p>
        </w:tc>
        <w:tc>
          <w:tcPr>
            <w:tcW w:w="29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rPr>
                <w:rFonts w:asciiTheme="minorHAnsi" w:eastAsiaTheme="minorHAnsi" w:hAnsiTheme="minorHAnsi"/>
              </w:rPr>
            </w:pPr>
            <w:r w:rsidRPr="005F03AC">
              <w:rPr>
                <w:rFonts w:asciiTheme="minorHAnsi" w:hAnsiTheme="minorHAnsi"/>
              </w:rPr>
              <w:t>Local effects impact corrections</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rPr>
                <w:rFonts w:asciiTheme="minorHAnsi" w:eastAsiaTheme="minorHAnsi" w:hAnsiTheme="minorHAnsi"/>
              </w:rPr>
            </w:pPr>
            <w:r w:rsidRPr="005F03AC">
              <w:rPr>
                <w:rFonts w:asciiTheme="minorHAnsi" w:hAnsiTheme="minorHAnsi"/>
              </w:rPr>
              <w:t>Yes</w:t>
            </w:r>
          </w:p>
        </w:tc>
        <w:tc>
          <w:tcPr>
            <w:tcW w:w="2104" w:type="dxa"/>
            <w:tcBorders>
              <w:top w:val="nil"/>
              <w:left w:val="nil"/>
              <w:bottom w:val="single" w:sz="8" w:space="0" w:color="auto"/>
              <w:right w:val="single" w:sz="8" w:space="0" w:color="auto"/>
            </w:tcBorders>
            <w:shd w:val="clear" w:color="auto" w:fill="00B050"/>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rPr>
            </w:pPr>
            <w:r w:rsidRPr="005F03AC">
              <w:rPr>
                <w:rFonts w:asciiTheme="minorHAnsi" w:hAnsiTheme="minorHAnsi"/>
              </w:rPr>
              <w:t>No</w:t>
            </w:r>
          </w:p>
        </w:tc>
        <w:tc>
          <w:tcPr>
            <w:tcW w:w="21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rPr>
            </w:pPr>
            <w:r w:rsidRPr="005F03AC">
              <w:rPr>
                <w:rFonts w:asciiTheme="minorHAnsi" w:hAnsiTheme="minorHAnsi"/>
              </w:rPr>
              <w:t>Yes</w:t>
            </w:r>
          </w:p>
        </w:tc>
        <w:tc>
          <w:tcPr>
            <w:tcW w:w="2105" w:type="dxa"/>
            <w:tcBorders>
              <w:top w:val="nil"/>
              <w:left w:val="nil"/>
              <w:bottom w:val="single" w:sz="8" w:space="0" w:color="auto"/>
              <w:right w:val="single" w:sz="8" w:space="0" w:color="auto"/>
            </w:tcBorders>
            <w:shd w:val="clear" w:color="auto" w:fill="FF0000"/>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rPr>
            </w:pPr>
            <w:r w:rsidRPr="005F03AC">
              <w:rPr>
                <w:rFonts w:asciiTheme="minorHAnsi" w:hAnsiTheme="minorHAnsi"/>
              </w:rPr>
              <w:t>N/A</w:t>
            </w:r>
          </w:p>
        </w:tc>
      </w:tr>
      <w:tr w:rsidR="005F03AC" w:rsidRPr="005F03AC" w:rsidTr="005F03AC">
        <w:trPr>
          <w:cantSplit/>
        </w:trPr>
        <w:tc>
          <w:tcPr>
            <w:tcW w:w="22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b/>
                <w:bCs/>
                <w:lang w:val="en-US"/>
              </w:rPr>
            </w:pPr>
            <w:r w:rsidRPr="005F03AC">
              <w:rPr>
                <w:rFonts w:asciiTheme="minorHAnsi" w:hAnsiTheme="minorHAnsi"/>
              </w:rPr>
              <w:t>IND</w:t>
            </w:r>
          </w:p>
        </w:tc>
        <w:tc>
          <w:tcPr>
            <w:tcW w:w="29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rPr>
                <w:rFonts w:asciiTheme="minorHAnsi" w:eastAsiaTheme="minorHAnsi" w:hAnsiTheme="minorHAnsi"/>
                <w:bCs/>
                <w:lang w:val="en-US"/>
              </w:rPr>
            </w:pPr>
            <w:r w:rsidRPr="005F03AC">
              <w:rPr>
                <w:rFonts w:asciiTheme="minorHAnsi" w:hAnsiTheme="minorHAnsi"/>
              </w:rPr>
              <w:t>Independence of corrections generation  vs</w:t>
            </w:r>
            <w:r w:rsidRPr="005F03AC">
              <w:rPr>
                <w:rFonts w:asciiTheme="minorHAnsi" w:hAnsiTheme="minorHAnsi"/>
                <w:bCs/>
                <w:lang w:val="en-US"/>
              </w:rPr>
              <w:t xml:space="preserve"> integrity check</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rPr>
                <w:rFonts w:asciiTheme="minorHAnsi" w:eastAsiaTheme="minorHAnsi" w:hAnsiTheme="minorHAnsi"/>
                <w:bCs/>
                <w:lang w:val="en-US"/>
              </w:rPr>
            </w:pPr>
            <w:r w:rsidRPr="005F03AC">
              <w:rPr>
                <w:rFonts w:asciiTheme="minorHAnsi" w:hAnsiTheme="minorHAnsi"/>
                <w:bCs/>
                <w:lang w:val="en-US"/>
              </w:rPr>
              <w:t>Yes</w:t>
            </w:r>
          </w:p>
        </w:tc>
        <w:tc>
          <w:tcPr>
            <w:tcW w:w="2104" w:type="dxa"/>
            <w:tcBorders>
              <w:top w:val="nil"/>
              <w:left w:val="nil"/>
              <w:bottom w:val="single" w:sz="8" w:space="0" w:color="auto"/>
              <w:right w:val="single" w:sz="8" w:space="0" w:color="auto"/>
            </w:tcBorders>
            <w:shd w:val="clear" w:color="auto" w:fill="00B050"/>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bCs/>
                <w:lang w:val="en-US"/>
              </w:rPr>
            </w:pPr>
            <w:r w:rsidRPr="005F03AC">
              <w:rPr>
                <w:rFonts w:asciiTheme="minorHAnsi" w:hAnsiTheme="minorHAnsi"/>
                <w:bCs/>
                <w:lang w:val="en-US"/>
              </w:rPr>
              <w:t>N/A</w:t>
            </w:r>
          </w:p>
        </w:tc>
        <w:tc>
          <w:tcPr>
            <w:tcW w:w="21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bCs/>
                <w:lang w:val="en-US"/>
              </w:rPr>
            </w:pPr>
            <w:r w:rsidRPr="005F03AC">
              <w:rPr>
                <w:rFonts w:asciiTheme="minorHAnsi" w:hAnsiTheme="minorHAnsi"/>
                <w:bCs/>
                <w:lang w:val="en-US"/>
              </w:rPr>
              <w:t>Yes</w:t>
            </w:r>
          </w:p>
        </w:tc>
        <w:tc>
          <w:tcPr>
            <w:tcW w:w="2105" w:type="dxa"/>
            <w:tcBorders>
              <w:top w:val="nil"/>
              <w:left w:val="nil"/>
              <w:bottom w:val="single" w:sz="8" w:space="0" w:color="auto"/>
              <w:right w:val="single" w:sz="8" w:space="0" w:color="auto"/>
            </w:tcBorders>
            <w:shd w:val="clear" w:color="auto" w:fill="FF0000"/>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bCs/>
                <w:lang w:val="en-US"/>
              </w:rPr>
            </w:pPr>
            <w:r w:rsidRPr="005F03AC">
              <w:rPr>
                <w:rFonts w:asciiTheme="minorHAnsi" w:hAnsiTheme="minorHAnsi"/>
                <w:bCs/>
                <w:lang w:val="en-US"/>
              </w:rPr>
              <w:t>No</w:t>
            </w:r>
          </w:p>
        </w:tc>
      </w:tr>
      <w:tr w:rsidR="005F03AC" w:rsidRPr="005F03AC" w:rsidTr="005F03AC">
        <w:trPr>
          <w:cantSplit/>
        </w:trPr>
        <w:tc>
          <w:tcPr>
            <w:tcW w:w="22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lang w:val="en-US"/>
              </w:rPr>
            </w:pPr>
            <w:r w:rsidRPr="005F03AC">
              <w:rPr>
                <w:rFonts w:asciiTheme="minorHAnsi" w:hAnsiTheme="minorHAnsi"/>
                <w:lang w:val="en-US"/>
              </w:rPr>
              <w:t>COM</w:t>
            </w:r>
          </w:p>
        </w:tc>
        <w:tc>
          <w:tcPr>
            <w:tcW w:w="29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rPr>
                <w:rFonts w:asciiTheme="minorHAnsi" w:eastAsiaTheme="minorHAnsi" w:hAnsiTheme="minorHAnsi"/>
                <w:lang w:val="en-US"/>
              </w:rPr>
            </w:pPr>
            <w:r w:rsidRPr="005F03AC">
              <w:rPr>
                <w:rFonts w:asciiTheme="minorHAnsi" w:hAnsiTheme="minorHAnsi"/>
                <w:lang w:val="en-US"/>
              </w:rPr>
              <w:t>Communication lines</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rPr>
                <w:rFonts w:asciiTheme="minorHAnsi" w:eastAsiaTheme="minorHAnsi" w:hAnsiTheme="minorHAnsi"/>
                <w:lang w:val="en-US"/>
              </w:rPr>
            </w:pPr>
            <w:r w:rsidRPr="005F03AC">
              <w:rPr>
                <w:rFonts w:asciiTheme="minorHAnsi" w:eastAsiaTheme="minorHAnsi" w:hAnsiTheme="minorHAnsi"/>
                <w:lang w:val="en-US"/>
              </w:rPr>
              <w:t>Standard communication lines</w:t>
            </w:r>
          </w:p>
        </w:tc>
        <w:tc>
          <w:tcPr>
            <w:tcW w:w="2104" w:type="dxa"/>
            <w:tcBorders>
              <w:top w:val="nil"/>
              <w:left w:val="nil"/>
              <w:bottom w:val="single" w:sz="8" w:space="0" w:color="auto"/>
              <w:right w:val="single" w:sz="8" w:space="0" w:color="auto"/>
            </w:tcBorders>
            <w:shd w:val="clear" w:color="auto" w:fill="00B050"/>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lang w:val="en-US"/>
              </w:rPr>
            </w:pPr>
            <w:r w:rsidRPr="005F03AC">
              <w:rPr>
                <w:rFonts w:asciiTheme="minorHAnsi" w:hAnsiTheme="minorHAnsi"/>
                <w:lang w:val="en-US"/>
              </w:rPr>
              <w:t>No communication lines</w:t>
            </w:r>
          </w:p>
        </w:tc>
        <w:tc>
          <w:tcPr>
            <w:tcW w:w="21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lang w:val="en-US"/>
              </w:rPr>
            </w:pPr>
            <w:r w:rsidRPr="005F03AC">
              <w:rPr>
                <w:rFonts w:asciiTheme="minorHAnsi" w:hAnsiTheme="minorHAnsi"/>
                <w:lang w:val="en-US"/>
              </w:rPr>
              <w:t>Standard communication lines</w:t>
            </w:r>
          </w:p>
        </w:tc>
        <w:tc>
          <w:tcPr>
            <w:tcW w:w="2105" w:type="dxa"/>
            <w:tcBorders>
              <w:top w:val="nil"/>
              <w:left w:val="nil"/>
              <w:bottom w:val="single" w:sz="8" w:space="0" w:color="auto"/>
              <w:right w:val="single" w:sz="8" w:space="0" w:color="auto"/>
            </w:tcBorders>
            <w:shd w:val="clear" w:color="auto" w:fill="FF0000"/>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lang w:val="en-US"/>
              </w:rPr>
            </w:pPr>
            <w:r w:rsidRPr="005F03AC">
              <w:rPr>
                <w:rFonts w:asciiTheme="minorHAnsi" w:hAnsiTheme="minorHAnsi"/>
                <w:lang w:val="en-US"/>
              </w:rPr>
              <w:t>High availability communication lines</w:t>
            </w:r>
          </w:p>
        </w:tc>
      </w:tr>
      <w:tr w:rsidR="005F03AC" w:rsidRPr="005F03AC" w:rsidTr="005F03AC">
        <w:trPr>
          <w:cantSplit/>
        </w:trPr>
        <w:tc>
          <w:tcPr>
            <w:tcW w:w="22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lang w:val="en-US"/>
              </w:rPr>
            </w:pPr>
            <w:r w:rsidRPr="005F03AC">
              <w:rPr>
                <w:rFonts w:asciiTheme="minorHAnsi" w:hAnsiTheme="minorHAnsi"/>
                <w:lang w:val="en-US"/>
              </w:rPr>
              <w:t>VDL</w:t>
            </w:r>
          </w:p>
        </w:tc>
        <w:tc>
          <w:tcPr>
            <w:tcW w:w="29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rPr>
                <w:rFonts w:asciiTheme="minorHAnsi" w:eastAsiaTheme="minorHAnsi" w:hAnsiTheme="minorHAnsi"/>
                <w:lang w:val="en-US"/>
              </w:rPr>
            </w:pPr>
            <w:r w:rsidRPr="005F03AC">
              <w:rPr>
                <w:rFonts w:asciiTheme="minorHAnsi" w:hAnsiTheme="minorHAnsi"/>
                <w:lang w:val="en-US"/>
              </w:rPr>
              <w:t>VDL Monitoring</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rPr>
                <w:rFonts w:asciiTheme="minorHAnsi" w:eastAsiaTheme="minorHAnsi" w:hAnsiTheme="minorHAnsi"/>
                <w:lang w:val="en-US"/>
              </w:rPr>
            </w:pPr>
            <w:r w:rsidRPr="005F03AC">
              <w:rPr>
                <w:rFonts w:asciiTheme="minorHAnsi" w:hAnsiTheme="minorHAnsi"/>
                <w:lang w:val="en-US"/>
              </w:rPr>
              <w:t>No</w:t>
            </w:r>
          </w:p>
        </w:tc>
        <w:tc>
          <w:tcPr>
            <w:tcW w:w="2104" w:type="dxa"/>
            <w:tcBorders>
              <w:top w:val="nil"/>
              <w:left w:val="nil"/>
              <w:bottom w:val="single" w:sz="8" w:space="0" w:color="auto"/>
              <w:right w:val="single" w:sz="8" w:space="0" w:color="auto"/>
            </w:tcBorders>
            <w:shd w:val="clear" w:color="auto" w:fill="00B050"/>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lang w:val="en-US"/>
              </w:rPr>
            </w:pPr>
            <w:r w:rsidRPr="005F03AC">
              <w:rPr>
                <w:rFonts w:asciiTheme="minorHAnsi" w:hAnsiTheme="minorHAnsi"/>
                <w:lang w:val="en-US"/>
              </w:rPr>
              <w:t>Yes</w:t>
            </w:r>
          </w:p>
        </w:tc>
        <w:tc>
          <w:tcPr>
            <w:tcW w:w="21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lang w:val="en-US"/>
              </w:rPr>
            </w:pPr>
            <w:r w:rsidRPr="005F03AC">
              <w:rPr>
                <w:rFonts w:asciiTheme="minorHAnsi" w:hAnsiTheme="minorHAnsi"/>
                <w:lang w:val="en-US"/>
              </w:rPr>
              <w:t>No</w:t>
            </w:r>
          </w:p>
        </w:tc>
        <w:tc>
          <w:tcPr>
            <w:tcW w:w="2105" w:type="dxa"/>
            <w:tcBorders>
              <w:top w:val="nil"/>
              <w:left w:val="nil"/>
              <w:bottom w:val="single" w:sz="8" w:space="0" w:color="auto"/>
              <w:right w:val="single" w:sz="8" w:space="0" w:color="auto"/>
            </w:tcBorders>
            <w:shd w:val="clear" w:color="auto" w:fill="FF0000"/>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lang w:val="en-US"/>
              </w:rPr>
            </w:pPr>
            <w:r w:rsidRPr="005F03AC">
              <w:rPr>
                <w:rFonts w:asciiTheme="minorHAnsi" w:hAnsiTheme="minorHAnsi"/>
                <w:lang w:val="en-US"/>
              </w:rPr>
              <w:t>N/A</w:t>
            </w:r>
          </w:p>
        </w:tc>
      </w:tr>
      <w:tr w:rsidR="005F03AC" w:rsidRPr="005F03AC" w:rsidTr="005F03AC">
        <w:trPr>
          <w:cantSplit/>
        </w:trPr>
        <w:tc>
          <w:tcPr>
            <w:tcW w:w="22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rPr>
            </w:pPr>
            <w:r w:rsidRPr="005F03AC">
              <w:rPr>
                <w:rFonts w:asciiTheme="minorHAnsi" w:hAnsiTheme="minorHAnsi"/>
              </w:rPr>
              <w:t>RED</w:t>
            </w:r>
          </w:p>
        </w:tc>
        <w:tc>
          <w:tcPr>
            <w:tcW w:w="29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rPr>
                <w:rFonts w:asciiTheme="minorHAnsi" w:eastAsiaTheme="minorHAnsi" w:hAnsiTheme="minorHAnsi"/>
              </w:rPr>
            </w:pPr>
            <w:r w:rsidRPr="005F03AC">
              <w:rPr>
                <w:rFonts w:asciiTheme="minorHAnsi" w:hAnsiTheme="minorHAnsi"/>
              </w:rPr>
              <w:t>Redundancy</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rPr>
                <w:rFonts w:asciiTheme="minorHAnsi" w:eastAsiaTheme="minorHAnsi" w:hAnsiTheme="minorHAnsi"/>
              </w:rPr>
            </w:pPr>
            <w:r w:rsidRPr="005F03AC">
              <w:rPr>
                <w:rFonts w:asciiTheme="minorHAnsi" w:hAnsiTheme="minorHAnsi"/>
              </w:rPr>
              <w:t>No</w:t>
            </w:r>
          </w:p>
        </w:tc>
        <w:tc>
          <w:tcPr>
            <w:tcW w:w="2104" w:type="dxa"/>
            <w:tcBorders>
              <w:top w:val="nil"/>
              <w:left w:val="nil"/>
              <w:bottom w:val="single" w:sz="8" w:space="0" w:color="auto"/>
              <w:right w:val="single" w:sz="8" w:space="0" w:color="auto"/>
            </w:tcBorders>
            <w:shd w:val="clear" w:color="auto" w:fill="00B050"/>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rPr>
            </w:pPr>
            <w:r w:rsidRPr="005F03AC">
              <w:rPr>
                <w:rFonts w:asciiTheme="minorHAnsi" w:hAnsiTheme="minorHAnsi"/>
              </w:rPr>
              <w:t>Increased redundancy</w:t>
            </w:r>
          </w:p>
        </w:tc>
        <w:tc>
          <w:tcPr>
            <w:tcW w:w="21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rPr>
            </w:pPr>
            <w:r w:rsidRPr="005F03AC">
              <w:rPr>
                <w:rFonts w:asciiTheme="minorHAnsi" w:hAnsiTheme="minorHAnsi"/>
              </w:rPr>
              <w:t>No</w:t>
            </w:r>
          </w:p>
        </w:tc>
        <w:tc>
          <w:tcPr>
            <w:tcW w:w="2105" w:type="dxa"/>
            <w:tcBorders>
              <w:top w:val="nil"/>
              <w:left w:val="nil"/>
              <w:bottom w:val="single" w:sz="8" w:space="0" w:color="auto"/>
              <w:right w:val="single" w:sz="8" w:space="0" w:color="auto"/>
            </w:tcBorders>
            <w:shd w:val="clear" w:color="auto" w:fill="FF0000"/>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rPr>
            </w:pPr>
            <w:r w:rsidRPr="005F03AC">
              <w:rPr>
                <w:rFonts w:asciiTheme="minorHAnsi" w:hAnsiTheme="minorHAnsi"/>
              </w:rPr>
              <w:t>N/A</w:t>
            </w:r>
          </w:p>
        </w:tc>
      </w:tr>
      <w:tr w:rsidR="005F03AC" w:rsidRPr="005F03AC" w:rsidTr="005F03AC">
        <w:trPr>
          <w:cantSplit/>
        </w:trPr>
        <w:tc>
          <w:tcPr>
            <w:tcW w:w="223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lang w:val="en-US"/>
              </w:rPr>
            </w:pPr>
            <w:r w:rsidRPr="005F03AC">
              <w:rPr>
                <w:rFonts w:asciiTheme="minorHAnsi" w:hAnsiTheme="minorHAnsi"/>
                <w:lang w:val="en-US"/>
              </w:rPr>
              <w:t>JSR</w:t>
            </w:r>
          </w:p>
        </w:tc>
        <w:tc>
          <w:tcPr>
            <w:tcW w:w="297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rPr>
                <w:rFonts w:asciiTheme="minorHAnsi" w:eastAsiaTheme="minorHAnsi" w:hAnsiTheme="minorHAnsi"/>
                <w:lang w:val="en-US"/>
              </w:rPr>
            </w:pPr>
            <w:r w:rsidRPr="005F03AC">
              <w:rPr>
                <w:rFonts w:asciiTheme="minorHAnsi" w:hAnsiTheme="minorHAnsi"/>
                <w:lang w:val="en-US"/>
              </w:rPr>
              <w:t>Jamming and Spoofing Resiliency</w:t>
            </w:r>
          </w:p>
        </w:tc>
        <w:tc>
          <w:tcPr>
            <w:tcW w:w="326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rPr>
                <w:rFonts w:asciiTheme="minorHAnsi" w:eastAsiaTheme="minorHAnsi" w:hAnsiTheme="minorHAnsi"/>
                <w:lang w:val="en-US"/>
              </w:rPr>
            </w:pPr>
            <w:r w:rsidRPr="005F03AC">
              <w:rPr>
                <w:rFonts w:asciiTheme="minorHAnsi" w:hAnsiTheme="minorHAnsi"/>
                <w:lang w:val="en-US"/>
              </w:rPr>
              <w:t>No</w:t>
            </w:r>
          </w:p>
        </w:tc>
        <w:tc>
          <w:tcPr>
            <w:tcW w:w="2104" w:type="dxa"/>
            <w:tcBorders>
              <w:top w:val="nil"/>
              <w:left w:val="nil"/>
              <w:bottom w:val="single" w:sz="4" w:space="0" w:color="auto"/>
              <w:right w:val="single" w:sz="8" w:space="0" w:color="auto"/>
            </w:tcBorders>
            <w:shd w:val="clear" w:color="auto" w:fill="00B050"/>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lang w:val="en-US"/>
              </w:rPr>
            </w:pPr>
            <w:r w:rsidRPr="005F03AC">
              <w:rPr>
                <w:rFonts w:asciiTheme="minorHAnsi" w:hAnsiTheme="minorHAnsi"/>
                <w:lang w:val="en-US"/>
              </w:rPr>
              <w:t>Yes</w:t>
            </w:r>
          </w:p>
        </w:tc>
        <w:tc>
          <w:tcPr>
            <w:tcW w:w="210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lang w:val="en-US"/>
              </w:rPr>
            </w:pPr>
            <w:r w:rsidRPr="005F03AC">
              <w:rPr>
                <w:rFonts w:asciiTheme="minorHAnsi" w:hAnsiTheme="minorHAnsi"/>
                <w:lang w:val="en-US"/>
              </w:rPr>
              <w:t>No</w:t>
            </w:r>
          </w:p>
        </w:tc>
        <w:tc>
          <w:tcPr>
            <w:tcW w:w="2105" w:type="dxa"/>
            <w:tcBorders>
              <w:top w:val="nil"/>
              <w:left w:val="nil"/>
              <w:bottom w:val="single" w:sz="4" w:space="0" w:color="auto"/>
              <w:right w:val="single" w:sz="8" w:space="0" w:color="auto"/>
            </w:tcBorders>
            <w:shd w:val="clear" w:color="auto" w:fill="FF0000"/>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lang w:val="en-US"/>
              </w:rPr>
            </w:pPr>
            <w:r w:rsidRPr="005F03AC">
              <w:rPr>
                <w:rFonts w:asciiTheme="minorHAnsi" w:hAnsiTheme="minorHAnsi"/>
                <w:lang w:val="en-US"/>
              </w:rPr>
              <w:t>N/A</w:t>
            </w:r>
          </w:p>
        </w:tc>
      </w:tr>
      <w:tr w:rsidR="005F03AC" w:rsidRPr="005F03AC" w:rsidTr="005F03AC">
        <w:trPr>
          <w:cantSplit/>
        </w:trPr>
        <w:tc>
          <w:tcPr>
            <w:tcW w:w="2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lang w:val="en-US"/>
              </w:rPr>
            </w:pPr>
            <w:r w:rsidRPr="005F03AC">
              <w:rPr>
                <w:rFonts w:asciiTheme="minorHAnsi" w:hAnsiTheme="minorHAnsi"/>
                <w:lang w:val="en-US"/>
              </w:rPr>
              <w:t>SEP</w:t>
            </w:r>
          </w:p>
        </w:tc>
        <w:tc>
          <w:tcPr>
            <w:tcW w:w="29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01601" w:rsidRPr="005F03AC" w:rsidRDefault="00F01601" w:rsidP="005F03AC">
            <w:pPr>
              <w:rPr>
                <w:rFonts w:asciiTheme="minorHAnsi" w:eastAsiaTheme="minorHAnsi" w:hAnsiTheme="minorHAnsi"/>
                <w:lang w:val="en-US"/>
              </w:rPr>
            </w:pPr>
            <w:r w:rsidRPr="005F03AC">
              <w:rPr>
                <w:rFonts w:asciiTheme="minorHAnsi" w:hAnsiTheme="minorHAnsi"/>
                <w:lang w:val="en-US"/>
              </w:rPr>
              <w:t>Corrections generation separated from the transmission means</w:t>
            </w:r>
          </w:p>
        </w:t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01601" w:rsidRPr="005F03AC" w:rsidRDefault="00F01601" w:rsidP="005F03AC">
            <w:pPr>
              <w:rPr>
                <w:rFonts w:asciiTheme="minorHAnsi" w:eastAsiaTheme="minorHAnsi" w:hAnsiTheme="minorHAnsi"/>
                <w:lang w:val="en-US"/>
              </w:rPr>
            </w:pPr>
            <w:r w:rsidRPr="005F03AC">
              <w:rPr>
                <w:rFonts w:asciiTheme="minorHAnsi" w:hAnsiTheme="minorHAnsi"/>
                <w:lang w:val="en-US"/>
              </w:rPr>
              <w:t>No</w:t>
            </w:r>
          </w:p>
        </w:tc>
        <w:tc>
          <w:tcPr>
            <w:tcW w:w="2104" w:type="dxa"/>
            <w:tcBorders>
              <w:top w:val="single" w:sz="4" w:space="0" w:color="auto"/>
              <w:left w:val="single" w:sz="4" w:space="0" w:color="auto"/>
              <w:bottom w:val="single" w:sz="4" w:space="0" w:color="auto"/>
              <w:right w:val="single" w:sz="4" w:space="0" w:color="auto"/>
            </w:tcBorders>
            <w:shd w:val="clear" w:color="auto" w:fill="00B050"/>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lang w:val="en-US"/>
              </w:rPr>
            </w:pPr>
            <w:r w:rsidRPr="005F03AC">
              <w:rPr>
                <w:rFonts w:asciiTheme="minorHAnsi" w:hAnsiTheme="minorHAnsi"/>
                <w:lang w:val="en-US"/>
              </w:rPr>
              <w:t>Yes</w:t>
            </w:r>
          </w:p>
        </w:tc>
        <w:tc>
          <w:tcPr>
            <w:tcW w:w="2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01601" w:rsidRPr="005F03AC" w:rsidRDefault="00F01601" w:rsidP="005F03AC">
            <w:pPr>
              <w:jc w:val="center"/>
              <w:rPr>
                <w:rFonts w:asciiTheme="minorHAnsi" w:eastAsiaTheme="minorHAnsi" w:hAnsiTheme="minorHAnsi"/>
                <w:lang w:val="en-US"/>
              </w:rPr>
            </w:pPr>
            <w:r w:rsidRPr="005F03AC">
              <w:rPr>
                <w:rFonts w:asciiTheme="minorHAnsi" w:hAnsiTheme="minorHAnsi"/>
                <w:lang w:val="en-US"/>
              </w:rPr>
              <w:t>No</w:t>
            </w:r>
          </w:p>
        </w:tc>
        <w:tc>
          <w:tcPr>
            <w:tcW w:w="2105" w:type="dxa"/>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vAlign w:val="center"/>
            <w:hideMark/>
          </w:tcPr>
          <w:p w:rsidR="00F01601" w:rsidRPr="005F03AC" w:rsidRDefault="00F01601" w:rsidP="005F03AC">
            <w:pPr>
              <w:keepNext/>
              <w:jc w:val="center"/>
              <w:rPr>
                <w:rFonts w:asciiTheme="minorHAnsi" w:eastAsiaTheme="minorHAnsi" w:hAnsiTheme="minorHAnsi"/>
                <w:lang w:val="en-US"/>
              </w:rPr>
            </w:pPr>
            <w:r w:rsidRPr="005F03AC">
              <w:rPr>
                <w:rFonts w:asciiTheme="minorHAnsi" w:hAnsiTheme="minorHAnsi"/>
                <w:lang w:val="en-US"/>
              </w:rPr>
              <w:t>N/A</w:t>
            </w:r>
          </w:p>
        </w:tc>
      </w:tr>
      <w:tr w:rsidR="005F03AC" w:rsidRPr="005F03AC" w:rsidTr="005F03AC">
        <w:trPr>
          <w:cantSplit/>
        </w:trPr>
        <w:tc>
          <w:tcPr>
            <w:tcW w:w="2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601" w:rsidRPr="005F03AC" w:rsidRDefault="00F01601" w:rsidP="005F03AC">
            <w:pPr>
              <w:jc w:val="center"/>
              <w:rPr>
                <w:rFonts w:asciiTheme="minorHAnsi" w:hAnsiTheme="minorHAnsi"/>
                <w:lang w:val="en-US"/>
              </w:rPr>
            </w:pPr>
            <w:r w:rsidRPr="005F03AC">
              <w:rPr>
                <w:rFonts w:asciiTheme="minorHAnsi" w:hAnsiTheme="minorHAnsi"/>
                <w:lang w:val="en-US"/>
              </w:rPr>
              <w:t>CUS</w:t>
            </w:r>
          </w:p>
        </w:tc>
        <w:tc>
          <w:tcPr>
            <w:tcW w:w="29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601" w:rsidRPr="005F03AC" w:rsidRDefault="00F01601" w:rsidP="005F03AC">
            <w:pPr>
              <w:rPr>
                <w:rFonts w:asciiTheme="minorHAnsi" w:hAnsiTheme="minorHAnsi"/>
                <w:lang w:val="en-US"/>
              </w:rPr>
            </w:pPr>
            <w:r w:rsidRPr="005F03AC">
              <w:rPr>
                <w:rFonts w:asciiTheme="minorHAnsi" w:hAnsiTheme="minorHAnsi"/>
                <w:lang w:val="en-US"/>
              </w:rPr>
              <w:t>Customized corrections for each AIS Base Station</w:t>
            </w:r>
          </w:p>
        </w:t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601" w:rsidRPr="005F03AC" w:rsidRDefault="00F01601" w:rsidP="005F03AC">
            <w:pPr>
              <w:rPr>
                <w:rFonts w:asciiTheme="minorHAnsi" w:hAnsiTheme="minorHAnsi"/>
                <w:lang w:val="en-US"/>
              </w:rPr>
            </w:pPr>
            <w:r w:rsidRPr="005F03AC">
              <w:rPr>
                <w:rFonts w:asciiTheme="minorHAnsi" w:hAnsiTheme="minorHAnsi"/>
                <w:lang w:val="en-US"/>
              </w:rPr>
              <w:t>No</w:t>
            </w:r>
          </w:p>
        </w:tc>
        <w:tc>
          <w:tcPr>
            <w:tcW w:w="2104" w:type="dxa"/>
            <w:tcBorders>
              <w:top w:val="single" w:sz="4" w:space="0" w:color="auto"/>
              <w:left w:val="single" w:sz="4" w:space="0" w:color="auto"/>
              <w:bottom w:val="single" w:sz="4" w:space="0" w:color="auto"/>
              <w:right w:val="single" w:sz="4" w:space="0" w:color="auto"/>
            </w:tcBorders>
            <w:shd w:val="clear" w:color="auto" w:fill="00B050"/>
            <w:tcMar>
              <w:top w:w="0" w:type="dxa"/>
              <w:left w:w="108" w:type="dxa"/>
              <w:bottom w:w="0" w:type="dxa"/>
              <w:right w:w="108" w:type="dxa"/>
            </w:tcMar>
            <w:vAlign w:val="center"/>
          </w:tcPr>
          <w:p w:rsidR="00F01601" w:rsidRPr="005F03AC" w:rsidRDefault="00F01601" w:rsidP="005F03AC">
            <w:pPr>
              <w:jc w:val="center"/>
              <w:rPr>
                <w:rFonts w:asciiTheme="minorHAnsi" w:hAnsiTheme="minorHAnsi"/>
                <w:lang w:val="en-US"/>
              </w:rPr>
            </w:pPr>
            <w:r w:rsidRPr="005F03AC">
              <w:rPr>
                <w:rFonts w:asciiTheme="minorHAnsi" w:hAnsiTheme="minorHAnsi"/>
                <w:lang w:val="en-US"/>
              </w:rPr>
              <w:t>Yes</w:t>
            </w:r>
          </w:p>
        </w:tc>
        <w:tc>
          <w:tcPr>
            <w:tcW w:w="2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601" w:rsidRPr="005F03AC" w:rsidRDefault="00F01601" w:rsidP="005F03AC">
            <w:pPr>
              <w:jc w:val="center"/>
              <w:rPr>
                <w:rFonts w:asciiTheme="minorHAnsi" w:hAnsiTheme="minorHAnsi"/>
                <w:lang w:val="en-US"/>
              </w:rPr>
            </w:pPr>
            <w:r w:rsidRPr="005F03AC">
              <w:rPr>
                <w:rFonts w:asciiTheme="minorHAnsi" w:hAnsiTheme="minorHAnsi"/>
                <w:lang w:val="en-US"/>
              </w:rPr>
              <w:t>No</w:t>
            </w:r>
          </w:p>
        </w:tc>
        <w:tc>
          <w:tcPr>
            <w:tcW w:w="2105" w:type="dxa"/>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vAlign w:val="center"/>
          </w:tcPr>
          <w:p w:rsidR="00F01601" w:rsidRPr="005F03AC" w:rsidRDefault="00F01601" w:rsidP="005F03AC">
            <w:pPr>
              <w:keepNext/>
              <w:jc w:val="center"/>
              <w:rPr>
                <w:rFonts w:asciiTheme="minorHAnsi" w:hAnsiTheme="minorHAnsi"/>
                <w:lang w:val="en-US"/>
              </w:rPr>
            </w:pPr>
            <w:r w:rsidRPr="005F03AC">
              <w:rPr>
                <w:rFonts w:asciiTheme="minorHAnsi" w:hAnsiTheme="minorHAnsi"/>
                <w:lang w:val="en-US"/>
              </w:rPr>
              <w:t>N/A</w:t>
            </w:r>
          </w:p>
        </w:tc>
      </w:tr>
      <w:tr w:rsidR="005F03AC" w:rsidRPr="005F03AC" w:rsidTr="005F03AC">
        <w:trPr>
          <w:cantSplit/>
        </w:trPr>
        <w:tc>
          <w:tcPr>
            <w:tcW w:w="2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601" w:rsidRPr="005F03AC" w:rsidRDefault="00F01601" w:rsidP="005F03AC">
            <w:pPr>
              <w:jc w:val="center"/>
              <w:rPr>
                <w:rFonts w:asciiTheme="minorHAnsi" w:hAnsiTheme="minorHAnsi"/>
                <w:lang w:val="en-US"/>
              </w:rPr>
            </w:pPr>
            <w:r w:rsidRPr="005F03AC">
              <w:rPr>
                <w:rFonts w:asciiTheme="minorHAnsi" w:hAnsiTheme="minorHAnsi"/>
                <w:lang w:val="en-US"/>
              </w:rPr>
              <w:lastRenderedPageBreak/>
              <w:t>INT</w:t>
            </w:r>
          </w:p>
        </w:tc>
        <w:tc>
          <w:tcPr>
            <w:tcW w:w="29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601" w:rsidRPr="005F03AC" w:rsidRDefault="00F01601" w:rsidP="005F03AC">
            <w:pPr>
              <w:rPr>
                <w:rFonts w:asciiTheme="minorHAnsi" w:hAnsiTheme="minorHAnsi"/>
                <w:lang w:val="en-US"/>
              </w:rPr>
            </w:pPr>
            <w:r w:rsidRPr="005F03AC">
              <w:rPr>
                <w:rFonts w:asciiTheme="minorHAnsi" w:hAnsiTheme="minorHAnsi"/>
                <w:lang w:val="en-US"/>
              </w:rPr>
              <w:t>Access to internal data (GNSS raw data or signal parameters) from the base or mobile station needed</w:t>
            </w:r>
          </w:p>
        </w:t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601" w:rsidRPr="005F03AC" w:rsidRDefault="00F01601" w:rsidP="005F03AC">
            <w:pPr>
              <w:rPr>
                <w:rFonts w:asciiTheme="minorHAnsi" w:hAnsiTheme="minorHAnsi"/>
                <w:lang w:val="en-US"/>
              </w:rPr>
            </w:pPr>
            <w:r w:rsidRPr="005F03AC">
              <w:rPr>
                <w:rFonts w:asciiTheme="minorHAnsi" w:hAnsiTheme="minorHAnsi"/>
                <w:lang w:val="en-US"/>
              </w:rPr>
              <w:t>No</w:t>
            </w:r>
          </w:p>
        </w:tc>
        <w:tc>
          <w:tcPr>
            <w:tcW w:w="2104" w:type="dxa"/>
            <w:tcBorders>
              <w:top w:val="single" w:sz="4" w:space="0" w:color="auto"/>
              <w:left w:val="single" w:sz="4" w:space="0" w:color="auto"/>
              <w:bottom w:val="single" w:sz="4" w:space="0" w:color="auto"/>
              <w:right w:val="single" w:sz="4" w:space="0" w:color="auto"/>
            </w:tcBorders>
            <w:shd w:val="clear" w:color="auto" w:fill="00B050"/>
            <w:tcMar>
              <w:top w:w="0" w:type="dxa"/>
              <w:left w:w="108" w:type="dxa"/>
              <w:bottom w:w="0" w:type="dxa"/>
              <w:right w:w="108" w:type="dxa"/>
            </w:tcMar>
            <w:vAlign w:val="center"/>
          </w:tcPr>
          <w:p w:rsidR="00F01601" w:rsidRPr="005F03AC" w:rsidRDefault="00F01601" w:rsidP="005F03AC">
            <w:pPr>
              <w:jc w:val="center"/>
              <w:rPr>
                <w:rFonts w:asciiTheme="minorHAnsi" w:hAnsiTheme="minorHAnsi"/>
                <w:lang w:val="en-US"/>
              </w:rPr>
            </w:pPr>
            <w:r w:rsidRPr="005F03AC">
              <w:rPr>
                <w:rFonts w:asciiTheme="minorHAnsi" w:hAnsiTheme="minorHAnsi"/>
                <w:lang w:val="en-US"/>
              </w:rPr>
              <w:t>N/A</w:t>
            </w:r>
          </w:p>
        </w:tc>
        <w:tc>
          <w:tcPr>
            <w:tcW w:w="2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601" w:rsidRPr="005F03AC" w:rsidRDefault="00F01601" w:rsidP="005F03AC">
            <w:pPr>
              <w:jc w:val="center"/>
              <w:rPr>
                <w:rFonts w:asciiTheme="minorHAnsi" w:hAnsiTheme="minorHAnsi"/>
                <w:lang w:val="en-US"/>
              </w:rPr>
            </w:pPr>
            <w:r w:rsidRPr="005F03AC">
              <w:rPr>
                <w:rFonts w:asciiTheme="minorHAnsi" w:hAnsiTheme="minorHAnsi"/>
                <w:lang w:val="en-US"/>
              </w:rPr>
              <w:t>No</w:t>
            </w:r>
          </w:p>
        </w:tc>
        <w:tc>
          <w:tcPr>
            <w:tcW w:w="2105" w:type="dxa"/>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vAlign w:val="center"/>
          </w:tcPr>
          <w:p w:rsidR="00F01601" w:rsidRPr="005F03AC" w:rsidRDefault="00F01601" w:rsidP="005F03AC">
            <w:pPr>
              <w:keepNext/>
              <w:jc w:val="center"/>
              <w:rPr>
                <w:rFonts w:asciiTheme="minorHAnsi" w:hAnsiTheme="minorHAnsi"/>
                <w:lang w:val="en-US"/>
              </w:rPr>
            </w:pPr>
            <w:r w:rsidRPr="005F03AC">
              <w:rPr>
                <w:rFonts w:asciiTheme="minorHAnsi" w:hAnsiTheme="minorHAnsi"/>
                <w:lang w:val="en-US"/>
              </w:rPr>
              <w:t>Yes</w:t>
            </w:r>
          </w:p>
        </w:tc>
      </w:tr>
    </w:tbl>
    <w:p w:rsidR="00F01601" w:rsidRDefault="00F01601" w:rsidP="00F01601">
      <w:pPr>
        <w:pStyle w:val="Caption"/>
        <w:jc w:val="center"/>
        <w:rPr>
          <w:b w:val="0"/>
          <w:color w:val="auto"/>
        </w:rPr>
      </w:pPr>
      <w:bookmarkStart w:id="27" w:name="_Ref445992349"/>
      <w:r w:rsidRPr="00767A73">
        <w:rPr>
          <w:b w:val="0"/>
          <w:color w:val="auto"/>
        </w:rPr>
        <w:t xml:space="preserve">Table </w:t>
      </w:r>
      <w:r w:rsidRPr="00767A73">
        <w:rPr>
          <w:b w:val="0"/>
          <w:color w:val="auto"/>
        </w:rPr>
        <w:fldChar w:fldCharType="begin"/>
      </w:r>
      <w:r w:rsidRPr="00767A73">
        <w:rPr>
          <w:b w:val="0"/>
          <w:color w:val="auto"/>
        </w:rPr>
        <w:instrText xml:space="preserve"> STYLEREF 1 \s </w:instrText>
      </w:r>
      <w:r w:rsidRPr="00767A73">
        <w:rPr>
          <w:b w:val="0"/>
          <w:color w:val="auto"/>
        </w:rPr>
        <w:fldChar w:fldCharType="separate"/>
      </w:r>
      <w:r w:rsidR="00E15EEB">
        <w:rPr>
          <w:b w:val="0"/>
          <w:noProof/>
          <w:color w:val="auto"/>
        </w:rPr>
        <w:t>0</w:t>
      </w:r>
      <w:r w:rsidRPr="00767A73">
        <w:rPr>
          <w:b w:val="0"/>
          <w:color w:val="auto"/>
        </w:rPr>
        <w:fldChar w:fldCharType="end"/>
      </w:r>
      <w:r w:rsidRPr="00767A73">
        <w:rPr>
          <w:b w:val="0"/>
          <w:color w:val="auto"/>
        </w:rPr>
        <w:noBreakHyphen/>
      </w:r>
      <w:r w:rsidRPr="00767A73">
        <w:rPr>
          <w:b w:val="0"/>
          <w:color w:val="auto"/>
        </w:rPr>
        <w:fldChar w:fldCharType="begin"/>
      </w:r>
      <w:r w:rsidRPr="00767A73">
        <w:rPr>
          <w:b w:val="0"/>
          <w:color w:val="auto"/>
        </w:rPr>
        <w:instrText xml:space="preserve"> SEQ Table \* ARABIC \s 1 </w:instrText>
      </w:r>
      <w:r w:rsidRPr="00767A73">
        <w:rPr>
          <w:b w:val="0"/>
          <w:color w:val="auto"/>
        </w:rPr>
        <w:fldChar w:fldCharType="separate"/>
      </w:r>
      <w:r w:rsidR="00E15EEB">
        <w:rPr>
          <w:b w:val="0"/>
          <w:noProof/>
          <w:color w:val="auto"/>
        </w:rPr>
        <w:t>1</w:t>
      </w:r>
      <w:r w:rsidRPr="00767A73">
        <w:rPr>
          <w:b w:val="0"/>
          <w:color w:val="auto"/>
        </w:rPr>
        <w:fldChar w:fldCharType="end"/>
      </w:r>
      <w:bookmarkEnd w:id="27"/>
      <w:r w:rsidRPr="00767A73">
        <w:rPr>
          <w:b w:val="0"/>
          <w:color w:val="auto"/>
        </w:rPr>
        <w:t>: Trade-Off Legend</w:t>
      </w:r>
    </w:p>
    <w:p w:rsidR="005F03AC" w:rsidRDefault="009B48CD" w:rsidP="005F03AC">
      <w:pPr>
        <w:pStyle w:val="BodyText"/>
      </w:pPr>
      <w:r>
        <w:t>I</w:t>
      </w:r>
      <w:r w:rsidR="005F03AC" w:rsidRPr="007D2337">
        <w:t>t is highlighted that for some features, only two of the above assessments will</w:t>
      </w:r>
      <w:r w:rsidR="005F03AC">
        <w:t xml:space="preserve"> be possible. As an example, for the VDL Monitoring capability, a ‘red’ assessment is not possible (degradation) since:</w:t>
      </w:r>
    </w:p>
    <w:p w:rsidR="005F03AC" w:rsidRPr="005F03AC" w:rsidRDefault="005F03AC" w:rsidP="00A37C89">
      <w:pPr>
        <w:pStyle w:val="Bullet1"/>
        <w:numPr>
          <w:ilvl w:val="0"/>
          <w:numId w:val="13"/>
        </w:numPr>
        <w:ind w:left="1134" w:hanging="567"/>
        <w:rPr>
          <w:rFonts w:ascii="Calibri" w:hAnsi="Calibri"/>
        </w:rPr>
      </w:pPr>
      <w:r w:rsidRPr="005F03AC">
        <w:rPr>
          <w:rFonts w:ascii="Calibri" w:hAnsi="Calibri"/>
        </w:rPr>
        <w:t>Architecture provides VDL monitoring: improved situation with respect to baseline architecture (green colour).</w:t>
      </w:r>
    </w:p>
    <w:p w:rsidR="005F03AC" w:rsidRPr="005F03AC" w:rsidRDefault="005F03AC" w:rsidP="00A37C89">
      <w:pPr>
        <w:pStyle w:val="Bullet1"/>
        <w:numPr>
          <w:ilvl w:val="0"/>
          <w:numId w:val="13"/>
        </w:numPr>
        <w:ind w:left="1134" w:hanging="567"/>
        <w:rPr>
          <w:rFonts w:ascii="Calibri" w:hAnsi="Calibri"/>
        </w:rPr>
      </w:pPr>
      <w:r w:rsidRPr="005F03AC">
        <w:rPr>
          <w:rFonts w:ascii="Calibri" w:hAnsi="Calibri"/>
        </w:rPr>
        <w:t>Architecture does not provide VDL monitoring: same situation as baseline architecture (white colour).</w:t>
      </w:r>
    </w:p>
    <w:p w:rsidR="005F03AC" w:rsidRDefault="005F03AC" w:rsidP="005F03AC">
      <w:pPr>
        <w:pStyle w:val="BodyText"/>
      </w:pPr>
      <w:r w:rsidRPr="0041106B">
        <w:t xml:space="preserve">On the other hand, </w:t>
      </w:r>
      <w:r>
        <w:t xml:space="preserve">for the </w:t>
      </w:r>
      <w:r w:rsidRPr="00EA4C11">
        <w:t>EGNOS based decentralised</w:t>
      </w:r>
      <w:r>
        <w:t xml:space="preserve"> solution the assessment of the ‘</w:t>
      </w:r>
      <w:r w:rsidRPr="00C74D83">
        <w:t>COM’ and ‘JSR’</w:t>
      </w:r>
      <w:r>
        <w:t xml:space="preserve"> features </w:t>
      </w:r>
      <w:r w:rsidRPr="0041106B">
        <w:t>depends on th</w:t>
      </w:r>
      <w:r>
        <w:t xml:space="preserve">e data used for the reference station (SIS or EDAS </w:t>
      </w:r>
      <w:proofErr w:type="spellStart"/>
      <w:r>
        <w:t>SISNeT</w:t>
      </w:r>
      <w:proofErr w:type="spellEnd"/>
      <w:r>
        <w:t xml:space="preserve"> service). </w:t>
      </w:r>
      <w:r w:rsidR="00F211C0">
        <w:t>For instance, in case of getting the SBAS data from the SIS, high availability communication lines are not need</w:t>
      </w:r>
      <w:r w:rsidR="00F5210F">
        <w:t>ed</w:t>
      </w:r>
      <w:r w:rsidR="00F211C0">
        <w:t xml:space="preserve"> (‘COM’) but the solution is not robust in front of jamming attacks. </w:t>
      </w:r>
      <w:r>
        <w:t>For that reason, the corresponding cells have been split to account for these two different options.</w:t>
      </w:r>
    </w:p>
    <w:p w:rsidR="005F03AC" w:rsidRDefault="005F03AC" w:rsidP="005F03AC">
      <w:pPr>
        <w:pStyle w:val="BodyText"/>
      </w:pPr>
      <w:r>
        <w:t>The table below presents the trade-off analysis performed for the indicated architectures:</w:t>
      </w:r>
    </w:p>
    <w:p w:rsidR="005F03AC" w:rsidRPr="007A395D" w:rsidRDefault="005F03AC" w:rsidP="005F03AC">
      <w:pPr>
        <w:pStyle w:val="Table"/>
        <w:numPr>
          <w:ilvl w:val="0"/>
          <w:numId w:val="9"/>
        </w:numPr>
        <w:rPr>
          <w:rFonts w:ascii="Calibri" w:hAnsi="Calibri"/>
        </w:rPr>
      </w:pPr>
      <w:r>
        <w:rPr>
          <w:rFonts w:ascii="Calibri" w:hAnsi="Calibri"/>
        </w:rPr>
        <w:t>Trade-Off Analysis - EGNOS over AIS</w:t>
      </w:r>
    </w:p>
    <w:tbl>
      <w:tblPr>
        <w:tblStyle w:val="TableProfessional"/>
        <w:tblW w:w="5000" w:type="pct"/>
        <w:tblLook w:val="04A0" w:firstRow="1" w:lastRow="0" w:firstColumn="1" w:lastColumn="0" w:noHBand="0" w:noVBand="1"/>
      </w:tblPr>
      <w:tblGrid>
        <w:gridCol w:w="3524"/>
        <w:gridCol w:w="1337"/>
        <w:gridCol w:w="1204"/>
        <w:gridCol w:w="1204"/>
        <w:gridCol w:w="600"/>
        <w:gridCol w:w="600"/>
        <w:gridCol w:w="1204"/>
        <w:gridCol w:w="1201"/>
        <w:gridCol w:w="600"/>
        <w:gridCol w:w="603"/>
        <w:gridCol w:w="1387"/>
        <w:gridCol w:w="1322"/>
      </w:tblGrid>
      <w:tr w:rsidR="00942121" w:rsidRPr="0098107F" w:rsidTr="00DB7467">
        <w:trPr>
          <w:cnfStyle w:val="100000000000" w:firstRow="1" w:lastRow="0" w:firstColumn="0" w:lastColumn="0" w:oddVBand="0" w:evenVBand="0" w:oddHBand="0" w:evenHBand="0" w:firstRowFirstColumn="0" w:firstRowLastColumn="0" w:lastRowFirstColumn="0" w:lastRowLastColumn="0"/>
          <w:cantSplit/>
          <w:trHeight w:val="300"/>
          <w:tblHeader/>
        </w:trPr>
        <w:tc>
          <w:tcPr>
            <w:tcW w:w="1192" w:type="pct"/>
            <w:vAlign w:val="center"/>
          </w:tcPr>
          <w:p w:rsidR="00942121" w:rsidRPr="0098107F" w:rsidRDefault="00942121" w:rsidP="0098107F">
            <w:pPr>
              <w:jc w:val="center"/>
              <w:rPr>
                <w:rFonts w:asciiTheme="minorHAnsi" w:hAnsiTheme="minorHAnsi"/>
                <w:sz w:val="20"/>
                <w:szCs w:val="20"/>
              </w:rPr>
            </w:pPr>
            <w:proofErr w:type="spellStart"/>
            <w:r w:rsidRPr="0098107F">
              <w:rPr>
                <w:rFonts w:asciiTheme="minorHAnsi" w:hAnsiTheme="minorHAnsi"/>
                <w:sz w:val="20"/>
                <w:szCs w:val="20"/>
              </w:rPr>
              <w:t>Title</w:t>
            </w:r>
            <w:proofErr w:type="spellEnd"/>
          </w:p>
        </w:tc>
        <w:tc>
          <w:tcPr>
            <w:tcW w:w="452" w:type="pct"/>
          </w:tcPr>
          <w:p w:rsidR="00942121" w:rsidRPr="0098107F" w:rsidRDefault="00942121" w:rsidP="0098107F">
            <w:pPr>
              <w:jc w:val="center"/>
              <w:rPr>
                <w:rFonts w:asciiTheme="minorHAnsi" w:hAnsiTheme="minorHAnsi"/>
                <w:sz w:val="20"/>
                <w:szCs w:val="20"/>
              </w:rPr>
            </w:pPr>
            <w:r w:rsidRPr="0098107F">
              <w:rPr>
                <w:rFonts w:asciiTheme="minorHAnsi" w:hAnsiTheme="minorHAnsi"/>
                <w:sz w:val="20"/>
                <w:szCs w:val="20"/>
              </w:rPr>
              <w:t>INF</w:t>
            </w:r>
          </w:p>
        </w:tc>
        <w:tc>
          <w:tcPr>
            <w:tcW w:w="407" w:type="pct"/>
          </w:tcPr>
          <w:p w:rsidR="00942121" w:rsidRPr="0098107F" w:rsidRDefault="00942121" w:rsidP="0098107F">
            <w:pPr>
              <w:jc w:val="center"/>
              <w:rPr>
                <w:rFonts w:asciiTheme="minorHAnsi" w:hAnsiTheme="minorHAnsi"/>
                <w:sz w:val="20"/>
                <w:szCs w:val="20"/>
              </w:rPr>
            </w:pPr>
            <w:r w:rsidRPr="0098107F">
              <w:rPr>
                <w:rFonts w:asciiTheme="minorHAnsi" w:hAnsiTheme="minorHAnsi"/>
                <w:sz w:val="20"/>
                <w:szCs w:val="20"/>
              </w:rPr>
              <w:t>LOC</w:t>
            </w:r>
          </w:p>
        </w:tc>
        <w:tc>
          <w:tcPr>
            <w:tcW w:w="407" w:type="pct"/>
          </w:tcPr>
          <w:p w:rsidR="00942121" w:rsidRPr="0098107F" w:rsidRDefault="00942121" w:rsidP="0098107F">
            <w:pPr>
              <w:jc w:val="center"/>
              <w:rPr>
                <w:rFonts w:asciiTheme="minorHAnsi" w:hAnsiTheme="minorHAnsi"/>
                <w:sz w:val="20"/>
                <w:szCs w:val="20"/>
              </w:rPr>
            </w:pPr>
            <w:r w:rsidRPr="0098107F">
              <w:rPr>
                <w:rFonts w:asciiTheme="minorHAnsi" w:hAnsiTheme="minorHAnsi"/>
                <w:sz w:val="20"/>
                <w:szCs w:val="20"/>
              </w:rPr>
              <w:t>IND</w:t>
            </w:r>
          </w:p>
        </w:tc>
        <w:tc>
          <w:tcPr>
            <w:tcW w:w="406" w:type="pct"/>
            <w:gridSpan w:val="2"/>
          </w:tcPr>
          <w:p w:rsidR="00942121" w:rsidRPr="0098107F" w:rsidRDefault="00942121" w:rsidP="0098107F">
            <w:pPr>
              <w:jc w:val="center"/>
              <w:rPr>
                <w:rFonts w:asciiTheme="minorHAnsi" w:hAnsiTheme="minorHAnsi"/>
                <w:sz w:val="20"/>
                <w:szCs w:val="20"/>
              </w:rPr>
            </w:pPr>
            <w:r w:rsidRPr="0098107F">
              <w:rPr>
                <w:rFonts w:asciiTheme="minorHAnsi" w:hAnsiTheme="minorHAnsi"/>
                <w:sz w:val="20"/>
                <w:szCs w:val="20"/>
              </w:rPr>
              <w:t>COM</w:t>
            </w:r>
          </w:p>
        </w:tc>
        <w:tc>
          <w:tcPr>
            <w:tcW w:w="407" w:type="pct"/>
          </w:tcPr>
          <w:p w:rsidR="00942121" w:rsidRPr="0098107F" w:rsidRDefault="00942121" w:rsidP="0098107F">
            <w:pPr>
              <w:tabs>
                <w:tab w:val="center" w:pos="405"/>
              </w:tabs>
              <w:jc w:val="center"/>
              <w:rPr>
                <w:rFonts w:asciiTheme="minorHAnsi" w:hAnsiTheme="minorHAnsi"/>
                <w:sz w:val="20"/>
                <w:szCs w:val="20"/>
              </w:rPr>
            </w:pPr>
            <w:r w:rsidRPr="0098107F">
              <w:rPr>
                <w:rFonts w:asciiTheme="minorHAnsi" w:hAnsiTheme="minorHAnsi"/>
                <w:sz w:val="20"/>
                <w:szCs w:val="20"/>
              </w:rPr>
              <w:t>VDL</w:t>
            </w:r>
          </w:p>
        </w:tc>
        <w:tc>
          <w:tcPr>
            <w:tcW w:w="406" w:type="pct"/>
          </w:tcPr>
          <w:p w:rsidR="00942121" w:rsidRPr="0098107F" w:rsidRDefault="00942121" w:rsidP="0098107F">
            <w:pPr>
              <w:jc w:val="center"/>
              <w:rPr>
                <w:rFonts w:asciiTheme="minorHAnsi" w:hAnsiTheme="minorHAnsi"/>
                <w:sz w:val="20"/>
                <w:szCs w:val="20"/>
              </w:rPr>
            </w:pPr>
            <w:r w:rsidRPr="0098107F">
              <w:rPr>
                <w:rFonts w:asciiTheme="minorHAnsi" w:hAnsiTheme="minorHAnsi"/>
                <w:sz w:val="20"/>
                <w:szCs w:val="20"/>
              </w:rPr>
              <w:t>RED</w:t>
            </w:r>
          </w:p>
        </w:tc>
        <w:tc>
          <w:tcPr>
            <w:tcW w:w="407" w:type="pct"/>
            <w:gridSpan w:val="2"/>
          </w:tcPr>
          <w:p w:rsidR="00942121" w:rsidRPr="0098107F" w:rsidRDefault="00942121" w:rsidP="0098107F">
            <w:pPr>
              <w:jc w:val="center"/>
              <w:rPr>
                <w:rFonts w:asciiTheme="minorHAnsi" w:hAnsiTheme="minorHAnsi"/>
                <w:sz w:val="20"/>
                <w:szCs w:val="20"/>
              </w:rPr>
            </w:pPr>
            <w:r w:rsidRPr="0098107F">
              <w:rPr>
                <w:rFonts w:asciiTheme="minorHAnsi" w:hAnsiTheme="minorHAnsi"/>
                <w:sz w:val="20"/>
                <w:szCs w:val="20"/>
              </w:rPr>
              <w:t>JSR</w:t>
            </w:r>
          </w:p>
        </w:tc>
        <w:tc>
          <w:tcPr>
            <w:tcW w:w="469" w:type="pct"/>
            <w:tcBorders>
              <w:bottom w:val="single" w:sz="6" w:space="0" w:color="000000"/>
            </w:tcBorders>
          </w:tcPr>
          <w:p w:rsidR="00942121" w:rsidRPr="0098107F" w:rsidRDefault="00942121" w:rsidP="0098107F">
            <w:pPr>
              <w:jc w:val="center"/>
              <w:rPr>
                <w:rFonts w:asciiTheme="minorHAnsi" w:hAnsiTheme="minorHAnsi"/>
                <w:sz w:val="20"/>
                <w:szCs w:val="20"/>
              </w:rPr>
            </w:pPr>
            <w:r w:rsidRPr="0098107F">
              <w:rPr>
                <w:rFonts w:asciiTheme="minorHAnsi" w:hAnsiTheme="minorHAnsi"/>
                <w:sz w:val="20"/>
                <w:szCs w:val="20"/>
              </w:rPr>
              <w:t>CUS</w:t>
            </w:r>
          </w:p>
        </w:tc>
        <w:tc>
          <w:tcPr>
            <w:tcW w:w="447" w:type="pct"/>
          </w:tcPr>
          <w:p w:rsidR="00942121" w:rsidRPr="0098107F" w:rsidRDefault="00942121" w:rsidP="0098107F">
            <w:pPr>
              <w:jc w:val="center"/>
              <w:rPr>
                <w:rFonts w:asciiTheme="minorHAnsi" w:hAnsiTheme="minorHAnsi"/>
                <w:sz w:val="20"/>
                <w:szCs w:val="20"/>
              </w:rPr>
            </w:pPr>
            <w:r w:rsidRPr="0098107F">
              <w:rPr>
                <w:rFonts w:asciiTheme="minorHAnsi" w:hAnsiTheme="minorHAnsi"/>
                <w:sz w:val="20"/>
                <w:szCs w:val="20"/>
              </w:rPr>
              <w:t>INT</w:t>
            </w:r>
          </w:p>
        </w:tc>
      </w:tr>
      <w:tr w:rsidR="00942121" w:rsidRPr="0098107F" w:rsidTr="00DB7467">
        <w:trPr>
          <w:cantSplit/>
          <w:trHeight w:val="283"/>
        </w:trPr>
        <w:tc>
          <w:tcPr>
            <w:tcW w:w="1192" w:type="pct"/>
            <w:vAlign w:val="center"/>
          </w:tcPr>
          <w:p w:rsidR="00942121" w:rsidRPr="0098107F" w:rsidRDefault="00942121" w:rsidP="005F03AC">
            <w:pPr>
              <w:rPr>
                <w:rFonts w:asciiTheme="minorHAnsi" w:hAnsiTheme="minorHAnsi"/>
                <w:sz w:val="20"/>
                <w:szCs w:val="20"/>
              </w:rPr>
            </w:pPr>
            <w:r>
              <w:rPr>
                <w:rFonts w:asciiTheme="minorHAnsi" w:hAnsiTheme="minorHAnsi"/>
                <w:sz w:val="20"/>
                <w:szCs w:val="20"/>
              </w:rPr>
              <w:t>Baseline</w:t>
            </w:r>
          </w:p>
        </w:tc>
        <w:tc>
          <w:tcPr>
            <w:tcW w:w="452" w:type="pct"/>
          </w:tcPr>
          <w:p w:rsidR="00942121" w:rsidRPr="0098107F" w:rsidRDefault="00942121" w:rsidP="005F03AC">
            <w:pPr>
              <w:ind w:left="-51"/>
              <w:rPr>
                <w:rFonts w:asciiTheme="minorHAnsi" w:hAnsiTheme="minorHAnsi"/>
                <w:sz w:val="20"/>
                <w:szCs w:val="20"/>
              </w:rPr>
            </w:pPr>
          </w:p>
        </w:tc>
        <w:tc>
          <w:tcPr>
            <w:tcW w:w="407" w:type="pct"/>
          </w:tcPr>
          <w:p w:rsidR="00942121" w:rsidRPr="0098107F" w:rsidRDefault="00942121" w:rsidP="005F03AC">
            <w:pPr>
              <w:ind w:left="-51"/>
              <w:rPr>
                <w:rFonts w:asciiTheme="minorHAnsi" w:hAnsiTheme="minorHAnsi"/>
                <w:sz w:val="20"/>
                <w:szCs w:val="20"/>
              </w:rPr>
            </w:pPr>
          </w:p>
        </w:tc>
        <w:tc>
          <w:tcPr>
            <w:tcW w:w="407" w:type="pct"/>
          </w:tcPr>
          <w:p w:rsidR="00942121" w:rsidRPr="0098107F" w:rsidRDefault="00942121" w:rsidP="005F03AC">
            <w:pPr>
              <w:ind w:left="-51"/>
              <w:rPr>
                <w:rFonts w:asciiTheme="minorHAnsi" w:hAnsiTheme="minorHAnsi"/>
                <w:sz w:val="20"/>
                <w:szCs w:val="20"/>
              </w:rPr>
            </w:pPr>
          </w:p>
        </w:tc>
        <w:tc>
          <w:tcPr>
            <w:tcW w:w="406" w:type="pct"/>
            <w:gridSpan w:val="2"/>
          </w:tcPr>
          <w:p w:rsidR="00942121" w:rsidRPr="0098107F" w:rsidRDefault="00942121" w:rsidP="005F03AC">
            <w:pPr>
              <w:ind w:left="-51"/>
              <w:rPr>
                <w:rFonts w:asciiTheme="minorHAnsi" w:hAnsiTheme="minorHAnsi"/>
                <w:sz w:val="20"/>
                <w:szCs w:val="20"/>
              </w:rPr>
            </w:pPr>
          </w:p>
        </w:tc>
        <w:tc>
          <w:tcPr>
            <w:tcW w:w="407" w:type="pct"/>
          </w:tcPr>
          <w:p w:rsidR="00942121" w:rsidRPr="0098107F" w:rsidRDefault="00942121" w:rsidP="005F03AC">
            <w:pPr>
              <w:ind w:left="-51"/>
              <w:rPr>
                <w:rFonts w:asciiTheme="minorHAnsi" w:hAnsiTheme="minorHAnsi"/>
                <w:sz w:val="20"/>
                <w:szCs w:val="20"/>
              </w:rPr>
            </w:pPr>
          </w:p>
        </w:tc>
        <w:tc>
          <w:tcPr>
            <w:tcW w:w="406" w:type="pct"/>
          </w:tcPr>
          <w:p w:rsidR="00942121" w:rsidRPr="0098107F" w:rsidRDefault="00942121" w:rsidP="005F03AC">
            <w:pPr>
              <w:ind w:left="-51"/>
              <w:rPr>
                <w:rFonts w:asciiTheme="minorHAnsi" w:hAnsiTheme="minorHAnsi"/>
                <w:sz w:val="20"/>
                <w:szCs w:val="20"/>
              </w:rPr>
            </w:pPr>
          </w:p>
        </w:tc>
        <w:tc>
          <w:tcPr>
            <w:tcW w:w="407" w:type="pct"/>
            <w:gridSpan w:val="2"/>
          </w:tcPr>
          <w:p w:rsidR="00942121" w:rsidRPr="0098107F" w:rsidRDefault="00942121" w:rsidP="005F03AC">
            <w:pPr>
              <w:ind w:left="-51"/>
              <w:rPr>
                <w:rFonts w:asciiTheme="minorHAnsi" w:hAnsiTheme="minorHAnsi"/>
                <w:sz w:val="20"/>
                <w:szCs w:val="20"/>
              </w:rPr>
            </w:pPr>
          </w:p>
        </w:tc>
        <w:tc>
          <w:tcPr>
            <w:tcW w:w="469" w:type="pct"/>
            <w:tcBorders>
              <w:bottom w:val="single" w:sz="6" w:space="0" w:color="000000"/>
            </w:tcBorders>
          </w:tcPr>
          <w:p w:rsidR="00942121" w:rsidRPr="0098107F" w:rsidRDefault="00942121" w:rsidP="005F03AC">
            <w:pPr>
              <w:ind w:left="-51"/>
              <w:rPr>
                <w:rFonts w:asciiTheme="minorHAnsi" w:hAnsiTheme="minorHAnsi"/>
                <w:sz w:val="20"/>
                <w:szCs w:val="20"/>
              </w:rPr>
            </w:pPr>
          </w:p>
        </w:tc>
        <w:tc>
          <w:tcPr>
            <w:tcW w:w="447" w:type="pct"/>
          </w:tcPr>
          <w:p w:rsidR="00942121" w:rsidRPr="0098107F" w:rsidRDefault="00942121" w:rsidP="005F03AC">
            <w:pPr>
              <w:ind w:left="-51"/>
              <w:rPr>
                <w:rFonts w:asciiTheme="minorHAnsi" w:hAnsiTheme="minorHAnsi"/>
                <w:sz w:val="20"/>
                <w:szCs w:val="20"/>
              </w:rPr>
            </w:pPr>
          </w:p>
        </w:tc>
      </w:tr>
      <w:tr w:rsidR="00942121" w:rsidRPr="0098107F" w:rsidTr="00DB7467">
        <w:trPr>
          <w:cantSplit/>
          <w:trHeight w:val="283"/>
        </w:trPr>
        <w:tc>
          <w:tcPr>
            <w:tcW w:w="1192" w:type="pct"/>
            <w:vAlign w:val="center"/>
          </w:tcPr>
          <w:p w:rsidR="00942121" w:rsidRPr="0098107F" w:rsidRDefault="00942121" w:rsidP="005F03AC">
            <w:pPr>
              <w:rPr>
                <w:rFonts w:asciiTheme="minorHAnsi" w:hAnsiTheme="minorHAnsi"/>
                <w:sz w:val="20"/>
                <w:szCs w:val="20"/>
              </w:rPr>
            </w:pPr>
            <w:r w:rsidRPr="0098107F">
              <w:rPr>
                <w:rFonts w:asciiTheme="minorHAnsi" w:hAnsiTheme="minorHAnsi"/>
                <w:sz w:val="20"/>
                <w:szCs w:val="20"/>
              </w:rPr>
              <w:t xml:space="preserve">EGNOS </w:t>
            </w:r>
            <w:proofErr w:type="spellStart"/>
            <w:r w:rsidRPr="0098107F">
              <w:rPr>
                <w:rFonts w:asciiTheme="minorHAnsi" w:hAnsiTheme="minorHAnsi"/>
                <w:sz w:val="20"/>
                <w:szCs w:val="20"/>
              </w:rPr>
              <w:t>based</w:t>
            </w:r>
            <w:proofErr w:type="spellEnd"/>
            <w:r w:rsidRPr="0098107F">
              <w:rPr>
                <w:rFonts w:asciiTheme="minorHAnsi" w:hAnsiTheme="minorHAnsi"/>
                <w:sz w:val="20"/>
                <w:szCs w:val="20"/>
              </w:rPr>
              <w:t xml:space="preserve"> </w:t>
            </w:r>
            <w:proofErr w:type="spellStart"/>
            <w:r w:rsidRPr="0098107F">
              <w:rPr>
                <w:rFonts w:asciiTheme="minorHAnsi" w:hAnsiTheme="minorHAnsi"/>
                <w:sz w:val="20"/>
                <w:szCs w:val="20"/>
              </w:rPr>
              <w:t>decentralised</w:t>
            </w:r>
            <w:proofErr w:type="spellEnd"/>
          </w:p>
        </w:tc>
        <w:tc>
          <w:tcPr>
            <w:tcW w:w="452" w:type="pct"/>
            <w:shd w:val="clear" w:color="auto" w:fill="FFFFFF" w:themeFill="background1"/>
          </w:tcPr>
          <w:p w:rsidR="00942121" w:rsidRPr="0098107F" w:rsidRDefault="00942121" w:rsidP="005F03AC">
            <w:pPr>
              <w:ind w:left="-51"/>
              <w:rPr>
                <w:rFonts w:asciiTheme="minorHAnsi" w:hAnsiTheme="minorHAnsi"/>
                <w:sz w:val="20"/>
                <w:szCs w:val="20"/>
              </w:rPr>
            </w:pPr>
          </w:p>
        </w:tc>
        <w:tc>
          <w:tcPr>
            <w:tcW w:w="407" w:type="pct"/>
            <w:shd w:val="clear" w:color="auto" w:fill="00B050"/>
          </w:tcPr>
          <w:p w:rsidR="00942121" w:rsidRPr="0098107F" w:rsidRDefault="00942121" w:rsidP="005F03AC">
            <w:pPr>
              <w:ind w:left="-51"/>
              <w:rPr>
                <w:rFonts w:asciiTheme="minorHAnsi" w:hAnsiTheme="minorHAnsi"/>
                <w:sz w:val="20"/>
                <w:szCs w:val="20"/>
              </w:rPr>
            </w:pPr>
          </w:p>
        </w:tc>
        <w:tc>
          <w:tcPr>
            <w:tcW w:w="407" w:type="pct"/>
            <w:shd w:val="clear" w:color="auto" w:fill="FFFFFF" w:themeFill="background1"/>
          </w:tcPr>
          <w:p w:rsidR="00942121" w:rsidRPr="0098107F" w:rsidRDefault="00942121" w:rsidP="005F03AC">
            <w:pPr>
              <w:ind w:left="-51"/>
              <w:rPr>
                <w:rFonts w:asciiTheme="minorHAnsi" w:hAnsiTheme="minorHAnsi"/>
                <w:sz w:val="20"/>
                <w:szCs w:val="20"/>
              </w:rPr>
            </w:pPr>
          </w:p>
        </w:tc>
        <w:tc>
          <w:tcPr>
            <w:tcW w:w="203" w:type="pct"/>
            <w:shd w:val="clear" w:color="auto" w:fill="FFFFFF" w:themeFill="background1"/>
          </w:tcPr>
          <w:p w:rsidR="00942121" w:rsidRPr="0098107F" w:rsidRDefault="00942121" w:rsidP="005F03AC">
            <w:pPr>
              <w:ind w:left="-51"/>
              <w:rPr>
                <w:rFonts w:asciiTheme="minorHAnsi" w:hAnsiTheme="minorHAnsi"/>
                <w:sz w:val="20"/>
                <w:szCs w:val="20"/>
              </w:rPr>
            </w:pPr>
          </w:p>
        </w:tc>
        <w:tc>
          <w:tcPr>
            <w:tcW w:w="203" w:type="pct"/>
            <w:shd w:val="clear" w:color="auto" w:fill="FF0000"/>
          </w:tcPr>
          <w:p w:rsidR="00942121" w:rsidRPr="0098107F" w:rsidRDefault="00942121" w:rsidP="005F03AC">
            <w:pPr>
              <w:ind w:left="-51"/>
              <w:rPr>
                <w:rFonts w:asciiTheme="minorHAnsi" w:hAnsiTheme="minorHAnsi"/>
                <w:sz w:val="20"/>
                <w:szCs w:val="20"/>
              </w:rPr>
            </w:pPr>
          </w:p>
        </w:tc>
        <w:tc>
          <w:tcPr>
            <w:tcW w:w="407" w:type="pct"/>
            <w:shd w:val="clear" w:color="auto" w:fill="FFFFFF" w:themeFill="background1"/>
          </w:tcPr>
          <w:p w:rsidR="00942121" w:rsidRPr="0098107F" w:rsidRDefault="00942121" w:rsidP="005F03AC">
            <w:pPr>
              <w:ind w:left="-51"/>
              <w:rPr>
                <w:rFonts w:asciiTheme="minorHAnsi" w:hAnsiTheme="minorHAnsi"/>
                <w:sz w:val="20"/>
                <w:szCs w:val="20"/>
              </w:rPr>
            </w:pPr>
          </w:p>
        </w:tc>
        <w:tc>
          <w:tcPr>
            <w:tcW w:w="406" w:type="pct"/>
            <w:shd w:val="clear" w:color="auto" w:fill="FFFFFF" w:themeFill="background1"/>
          </w:tcPr>
          <w:p w:rsidR="00942121" w:rsidRPr="0098107F" w:rsidRDefault="00942121" w:rsidP="005F03AC">
            <w:pPr>
              <w:ind w:left="-51"/>
              <w:rPr>
                <w:rFonts w:asciiTheme="minorHAnsi" w:hAnsiTheme="minorHAnsi"/>
                <w:sz w:val="20"/>
                <w:szCs w:val="20"/>
              </w:rPr>
            </w:pPr>
          </w:p>
        </w:tc>
        <w:tc>
          <w:tcPr>
            <w:tcW w:w="203" w:type="pct"/>
            <w:shd w:val="clear" w:color="auto" w:fill="FFFFFF" w:themeFill="background1"/>
          </w:tcPr>
          <w:p w:rsidR="00942121" w:rsidRPr="0098107F" w:rsidRDefault="00942121" w:rsidP="005F03AC">
            <w:pPr>
              <w:ind w:left="-51"/>
              <w:rPr>
                <w:rFonts w:asciiTheme="minorHAnsi" w:hAnsiTheme="minorHAnsi"/>
                <w:sz w:val="20"/>
                <w:szCs w:val="20"/>
              </w:rPr>
            </w:pPr>
          </w:p>
        </w:tc>
        <w:tc>
          <w:tcPr>
            <w:tcW w:w="204" w:type="pct"/>
            <w:shd w:val="clear" w:color="auto" w:fill="00B050"/>
          </w:tcPr>
          <w:p w:rsidR="00942121" w:rsidRPr="0098107F" w:rsidRDefault="00942121" w:rsidP="005F03AC">
            <w:pPr>
              <w:ind w:left="-51"/>
              <w:rPr>
                <w:rFonts w:asciiTheme="minorHAnsi" w:hAnsiTheme="minorHAnsi"/>
                <w:sz w:val="20"/>
                <w:szCs w:val="20"/>
              </w:rPr>
            </w:pPr>
          </w:p>
        </w:tc>
        <w:tc>
          <w:tcPr>
            <w:tcW w:w="469" w:type="pct"/>
            <w:tcBorders>
              <w:bottom w:val="single" w:sz="6" w:space="0" w:color="000000"/>
            </w:tcBorders>
            <w:shd w:val="clear" w:color="auto" w:fill="FFFFFF" w:themeFill="background1"/>
          </w:tcPr>
          <w:p w:rsidR="00942121" w:rsidRPr="0098107F" w:rsidRDefault="00942121" w:rsidP="005F03AC">
            <w:pPr>
              <w:ind w:left="-51"/>
              <w:rPr>
                <w:rFonts w:asciiTheme="minorHAnsi" w:hAnsiTheme="minorHAnsi"/>
                <w:sz w:val="20"/>
                <w:szCs w:val="20"/>
              </w:rPr>
            </w:pPr>
          </w:p>
        </w:tc>
        <w:tc>
          <w:tcPr>
            <w:tcW w:w="447" w:type="pct"/>
            <w:shd w:val="clear" w:color="auto" w:fill="FFFFFF" w:themeFill="background1"/>
          </w:tcPr>
          <w:p w:rsidR="00942121" w:rsidRPr="0098107F" w:rsidRDefault="00942121" w:rsidP="005F03AC">
            <w:pPr>
              <w:ind w:left="-51"/>
              <w:rPr>
                <w:rFonts w:asciiTheme="minorHAnsi" w:hAnsiTheme="minorHAnsi"/>
                <w:sz w:val="20"/>
                <w:szCs w:val="20"/>
              </w:rPr>
            </w:pPr>
          </w:p>
        </w:tc>
      </w:tr>
      <w:tr w:rsidR="00942121" w:rsidRPr="0098107F" w:rsidTr="00DB7467">
        <w:trPr>
          <w:cantSplit/>
          <w:trHeight w:val="283"/>
        </w:trPr>
        <w:tc>
          <w:tcPr>
            <w:tcW w:w="1192" w:type="pct"/>
            <w:vAlign w:val="center"/>
          </w:tcPr>
          <w:p w:rsidR="00942121" w:rsidRPr="0098107F" w:rsidRDefault="00942121" w:rsidP="005F03AC">
            <w:pPr>
              <w:rPr>
                <w:rFonts w:asciiTheme="minorHAnsi" w:hAnsiTheme="minorHAnsi"/>
                <w:sz w:val="20"/>
                <w:szCs w:val="20"/>
              </w:rPr>
            </w:pPr>
            <w:r w:rsidRPr="0098107F">
              <w:rPr>
                <w:rFonts w:asciiTheme="minorHAnsi" w:hAnsiTheme="minorHAnsi"/>
                <w:sz w:val="20"/>
                <w:szCs w:val="20"/>
              </w:rPr>
              <w:t xml:space="preserve">EGNOS </w:t>
            </w:r>
            <w:proofErr w:type="spellStart"/>
            <w:r w:rsidRPr="0098107F">
              <w:rPr>
                <w:rFonts w:asciiTheme="minorHAnsi" w:hAnsiTheme="minorHAnsi"/>
                <w:sz w:val="20"/>
                <w:szCs w:val="20"/>
              </w:rPr>
              <w:t>based</w:t>
            </w:r>
            <w:proofErr w:type="spellEnd"/>
            <w:r w:rsidRPr="0098107F">
              <w:rPr>
                <w:rFonts w:asciiTheme="minorHAnsi" w:hAnsiTheme="minorHAnsi"/>
                <w:sz w:val="20"/>
                <w:szCs w:val="20"/>
              </w:rPr>
              <w:t xml:space="preserve"> </w:t>
            </w:r>
            <w:proofErr w:type="spellStart"/>
            <w:r w:rsidRPr="0098107F">
              <w:rPr>
                <w:rFonts w:asciiTheme="minorHAnsi" w:hAnsiTheme="minorHAnsi"/>
                <w:sz w:val="20"/>
                <w:szCs w:val="20"/>
              </w:rPr>
              <w:t>centralised</w:t>
            </w:r>
            <w:proofErr w:type="spellEnd"/>
          </w:p>
        </w:tc>
        <w:tc>
          <w:tcPr>
            <w:tcW w:w="452" w:type="pct"/>
            <w:shd w:val="clear" w:color="auto" w:fill="00B050"/>
          </w:tcPr>
          <w:p w:rsidR="00942121" w:rsidRPr="0098107F" w:rsidRDefault="00942121" w:rsidP="005F03AC">
            <w:pPr>
              <w:ind w:left="-51"/>
              <w:rPr>
                <w:rFonts w:asciiTheme="minorHAnsi" w:hAnsiTheme="minorHAnsi"/>
                <w:sz w:val="20"/>
                <w:szCs w:val="20"/>
              </w:rPr>
            </w:pPr>
          </w:p>
        </w:tc>
        <w:tc>
          <w:tcPr>
            <w:tcW w:w="407" w:type="pct"/>
            <w:shd w:val="clear" w:color="auto" w:fill="00B050"/>
          </w:tcPr>
          <w:p w:rsidR="00942121" w:rsidRPr="0098107F" w:rsidRDefault="00942121" w:rsidP="005F03AC">
            <w:pPr>
              <w:ind w:left="-51"/>
              <w:rPr>
                <w:rFonts w:asciiTheme="minorHAnsi" w:hAnsiTheme="minorHAnsi"/>
                <w:sz w:val="20"/>
                <w:szCs w:val="20"/>
              </w:rPr>
            </w:pPr>
          </w:p>
        </w:tc>
        <w:tc>
          <w:tcPr>
            <w:tcW w:w="407" w:type="pct"/>
            <w:shd w:val="clear" w:color="auto" w:fill="FFFFFF" w:themeFill="background1"/>
          </w:tcPr>
          <w:p w:rsidR="00942121" w:rsidRPr="0098107F" w:rsidRDefault="00942121" w:rsidP="005F03AC">
            <w:pPr>
              <w:ind w:left="-51"/>
              <w:rPr>
                <w:rFonts w:asciiTheme="minorHAnsi" w:hAnsiTheme="minorHAnsi"/>
                <w:sz w:val="20"/>
                <w:szCs w:val="20"/>
              </w:rPr>
            </w:pPr>
          </w:p>
        </w:tc>
        <w:tc>
          <w:tcPr>
            <w:tcW w:w="406" w:type="pct"/>
            <w:gridSpan w:val="2"/>
            <w:shd w:val="clear" w:color="auto" w:fill="FF0000"/>
          </w:tcPr>
          <w:p w:rsidR="00942121" w:rsidRPr="0098107F" w:rsidRDefault="00942121" w:rsidP="005F03AC">
            <w:pPr>
              <w:ind w:left="-51"/>
              <w:rPr>
                <w:rFonts w:asciiTheme="minorHAnsi" w:hAnsiTheme="minorHAnsi"/>
                <w:sz w:val="20"/>
                <w:szCs w:val="20"/>
              </w:rPr>
            </w:pPr>
          </w:p>
        </w:tc>
        <w:tc>
          <w:tcPr>
            <w:tcW w:w="407" w:type="pct"/>
            <w:shd w:val="clear" w:color="auto" w:fill="FFFFFF" w:themeFill="background1"/>
          </w:tcPr>
          <w:p w:rsidR="00942121" w:rsidRPr="0098107F" w:rsidRDefault="00942121" w:rsidP="005F03AC">
            <w:pPr>
              <w:ind w:left="-51"/>
              <w:rPr>
                <w:rFonts w:asciiTheme="minorHAnsi" w:hAnsiTheme="minorHAnsi"/>
                <w:sz w:val="20"/>
                <w:szCs w:val="20"/>
              </w:rPr>
            </w:pPr>
          </w:p>
        </w:tc>
        <w:tc>
          <w:tcPr>
            <w:tcW w:w="406" w:type="pct"/>
            <w:shd w:val="clear" w:color="auto" w:fill="FFFFFF" w:themeFill="background1"/>
          </w:tcPr>
          <w:p w:rsidR="00942121" w:rsidRPr="0098107F" w:rsidRDefault="00942121" w:rsidP="005F03AC">
            <w:pPr>
              <w:ind w:left="-51"/>
              <w:rPr>
                <w:rFonts w:asciiTheme="minorHAnsi" w:hAnsiTheme="minorHAnsi"/>
                <w:sz w:val="20"/>
                <w:szCs w:val="20"/>
              </w:rPr>
            </w:pPr>
          </w:p>
        </w:tc>
        <w:tc>
          <w:tcPr>
            <w:tcW w:w="407" w:type="pct"/>
            <w:gridSpan w:val="2"/>
            <w:shd w:val="clear" w:color="auto" w:fill="00B050"/>
          </w:tcPr>
          <w:p w:rsidR="00942121" w:rsidRPr="0098107F" w:rsidRDefault="00942121" w:rsidP="005F03AC">
            <w:pPr>
              <w:ind w:left="-51"/>
              <w:rPr>
                <w:rFonts w:asciiTheme="minorHAnsi" w:hAnsiTheme="minorHAnsi"/>
                <w:sz w:val="20"/>
                <w:szCs w:val="20"/>
              </w:rPr>
            </w:pPr>
          </w:p>
        </w:tc>
        <w:tc>
          <w:tcPr>
            <w:tcW w:w="469" w:type="pct"/>
            <w:shd w:val="clear" w:color="auto" w:fill="00B050"/>
          </w:tcPr>
          <w:p w:rsidR="00942121" w:rsidRPr="0098107F" w:rsidRDefault="00942121" w:rsidP="005F03AC">
            <w:pPr>
              <w:ind w:left="-51"/>
              <w:rPr>
                <w:rFonts w:asciiTheme="minorHAnsi" w:hAnsiTheme="minorHAnsi"/>
                <w:sz w:val="20"/>
                <w:szCs w:val="20"/>
              </w:rPr>
            </w:pPr>
          </w:p>
        </w:tc>
        <w:tc>
          <w:tcPr>
            <w:tcW w:w="447" w:type="pct"/>
            <w:shd w:val="clear" w:color="auto" w:fill="FFFFFF" w:themeFill="background1"/>
          </w:tcPr>
          <w:p w:rsidR="00942121" w:rsidRPr="0098107F" w:rsidRDefault="00942121" w:rsidP="005F03AC">
            <w:pPr>
              <w:ind w:left="-51"/>
              <w:rPr>
                <w:rFonts w:asciiTheme="minorHAnsi" w:hAnsiTheme="minorHAnsi"/>
                <w:sz w:val="20"/>
                <w:szCs w:val="20"/>
              </w:rPr>
            </w:pPr>
          </w:p>
        </w:tc>
      </w:tr>
    </w:tbl>
    <w:p w:rsidR="00342882" w:rsidRDefault="00342882" w:rsidP="00DA30F7">
      <w:pPr>
        <w:pStyle w:val="BodyText"/>
      </w:pPr>
    </w:p>
    <w:p w:rsidR="00F01601" w:rsidRDefault="00F01601" w:rsidP="006A7680">
      <w:pPr>
        <w:pStyle w:val="BodyText"/>
        <w:sectPr w:rsidR="00F01601" w:rsidSect="00F01601">
          <w:pgSz w:w="16838" w:h="11906" w:orient="landscape"/>
          <w:pgMar w:top="1134" w:right="1134" w:bottom="1134" w:left="1134" w:header="709" w:footer="709" w:gutter="0"/>
          <w:cols w:space="708"/>
          <w:docGrid w:linePitch="360"/>
        </w:sectPr>
      </w:pPr>
    </w:p>
    <w:p w:rsidR="00ED711C" w:rsidRDefault="00ED711C" w:rsidP="00ED711C">
      <w:pPr>
        <w:pStyle w:val="AnnexHeading1"/>
      </w:pPr>
      <w:bookmarkStart w:id="28" w:name="_Toc446061948"/>
      <w:bookmarkStart w:id="29" w:name="_Ref455669484"/>
      <w:bookmarkEnd w:id="28"/>
      <w:r>
        <w:lastRenderedPageBreak/>
        <w:t xml:space="preserve">Mapping of </w:t>
      </w:r>
      <w:r w:rsidR="00A37C89">
        <w:t xml:space="preserve">RTCA </w:t>
      </w:r>
      <w:r>
        <w:t>SBAS message</w:t>
      </w:r>
      <w:r w:rsidR="00A37C89">
        <w:t>S</w:t>
      </w:r>
      <w:r>
        <w:t xml:space="preserve"> to RTCM 2.x</w:t>
      </w:r>
      <w:bookmarkEnd w:id="7"/>
      <w:bookmarkEnd w:id="8"/>
      <w:bookmarkEnd w:id="9"/>
      <w:bookmarkEnd w:id="29"/>
    </w:p>
    <w:p w:rsidR="00DB7467" w:rsidRPr="00DB7467" w:rsidRDefault="00DB7467" w:rsidP="00DB7467">
      <w:pPr>
        <w:pStyle w:val="BodyText"/>
        <w:rPr>
          <w:rFonts w:ascii="Calibri" w:hAnsi="Calibri"/>
        </w:rPr>
      </w:pPr>
      <w:r w:rsidRPr="00DB7467">
        <w:rPr>
          <w:rFonts w:ascii="Calibri" w:hAnsi="Calibri"/>
        </w:rPr>
        <w:t xml:space="preserve">IALA DGNSS employs the principle that the main sources of error in satellite navigation (i.e. satellite clock errors, satellite ephemeris errors, tropospheric and ionospheric delay estimation errors) are highly correlated for two users located relatively close to each other. Differential GNSS corrections are computed by placing a reference station with a GNSS receiver at a known location, determining corrections to the satellite ranging signals, and broadcasting these corrections to users. This removes the bias errors common to the reference station and user receivers, and improves the positional accuracy. The accuracy is then limited by user receiver noise, inter-channel biases, user local effects and differential station location uncertainty. </w:t>
      </w:r>
    </w:p>
    <w:p w:rsidR="00DB7467" w:rsidRDefault="00DB7467" w:rsidP="00DB7467">
      <w:pPr>
        <w:pStyle w:val="BodyText"/>
        <w:rPr>
          <w:rFonts w:ascii="Calibri" w:hAnsi="Calibri"/>
        </w:rPr>
      </w:pPr>
      <w:r w:rsidRPr="00DB7467">
        <w:rPr>
          <w:rFonts w:ascii="Calibri" w:hAnsi="Calibri"/>
        </w:rPr>
        <w:t>EGNOS, as any SBAS system, is also providing corrections to the same errors (i.e. satellite clock and ephemeris errors and ionospheric delay estimation errors), with one exception: the troposphere. For this error source, SBAS systems do not provide corrections; users are expected to apply a model to reduce the error in the position due to this effect.</w:t>
      </w:r>
    </w:p>
    <w:p w:rsidR="00DB7467" w:rsidRDefault="00DB7467" w:rsidP="00DB7467">
      <w:pPr>
        <w:pStyle w:val="BodyText"/>
        <w:rPr>
          <w:rFonts w:ascii="Calibri" w:hAnsi="Calibri"/>
        </w:rPr>
      </w:pPr>
      <w:r>
        <w:rPr>
          <w:rFonts w:ascii="Calibri" w:hAnsi="Calibri"/>
        </w:rPr>
        <w:t xml:space="preserve">Taking this into account, the </w:t>
      </w:r>
      <w:r>
        <w:rPr>
          <w:bCs/>
        </w:rPr>
        <w:t xml:space="preserve">EGNOS messages can be used for the generation of Virtual Reference Stations (VRS). </w:t>
      </w:r>
      <w:r w:rsidRPr="003909B4">
        <w:rPr>
          <w:szCs w:val="20"/>
        </w:rPr>
        <w:t xml:space="preserve">The principle </w:t>
      </w:r>
      <w:r>
        <w:rPr>
          <w:szCs w:val="20"/>
        </w:rPr>
        <w:t xml:space="preserve">behind </w:t>
      </w:r>
      <w:r w:rsidRPr="003909B4">
        <w:rPr>
          <w:szCs w:val="20"/>
        </w:rPr>
        <w:t xml:space="preserve">this solution would be to </w:t>
      </w:r>
      <w:r>
        <w:rPr>
          <w:szCs w:val="20"/>
        </w:rPr>
        <w:t>convert the wide area</w:t>
      </w:r>
      <w:r w:rsidRPr="003909B4">
        <w:rPr>
          <w:szCs w:val="20"/>
        </w:rPr>
        <w:t xml:space="preserve"> EGNOS </w:t>
      </w:r>
      <w:r>
        <w:rPr>
          <w:szCs w:val="20"/>
        </w:rPr>
        <w:t xml:space="preserve">corrections in RTCA format, into local area corrections in </w:t>
      </w:r>
      <w:r w:rsidRPr="003909B4">
        <w:rPr>
          <w:szCs w:val="20"/>
        </w:rPr>
        <w:t xml:space="preserve">RTCM SC-104 </w:t>
      </w:r>
      <w:r>
        <w:rPr>
          <w:szCs w:val="20"/>
        </w:rPr>
        <w:t xml:space="preserve">format  (EGNOS-VRS) for the locations of interest for maritime users </w:t>
      </w:r>
      <w:r w:rsidRPr="001B679A">
        <w:rPr>
          <w:szCs w:val="20"/>
        </w:rPr>
        <w:t>(e.g. beacon locations).</w:t>
      </w:r>
    </w:p>
    <w:p w:rsidR="00ED711C" w:rsidRDefault="00ED711C" w:rsidP="00ED711C">
      <w:pPr>
        <w:pStyle w:val="BodyText"/>
        <w:rPr>
          <w:rFonts w:ascii="Calibri" w:hAnsi="Calibri"/>
        </w:rPr>
      </w:pPr>
      <w:r w:rsidRPr="00ED711C">
        <w:rPr>
          <w:rFonts w:ascii="Calibri" w:hAnsi="Calibri"/>
        </w:rPr>
        <w:t xml:space="preserve">For the sake of clarity, the </w:t>
      </w:r>
      <w:proofErr w:type="spellStart"/>
      <w:r w:rsidRPr="00ED711C">
        <w:rPr>
          <w:rFonts w:ascii="Calibri" w:hAnsi="Calibri"/>
        </w:rPr>
        <w:t>Pseudorange</w:t>
      </w:r>
      <w:proofErr w:type="spellEnd"/>
      <w:r w:rsidRPr="00ED711C">
        <w:rPr>
          <w:rFonts w:ascii="Calibri" w:hAnsi="Calibri"/>
        </w:rPr>
        <w:t xml:space="preserve"> corrections provided by EGNOS will be called from now on EGNOS PRC, the </w:t>
      </w:r>
      <w:proofErr w:type="spellStart"/>
      <w:r w:rsidRPr="00ED711C">
        <w:rPr>
          <w:rFonts w:ascii="Calibri" w:hAnsi="Calibri"/>
        </w:rPr>
        <w:t>Pseudorange</w:t>
      </w:r>
      <w:proofErr w:type="spellEnd"/>
      <w:r w:rsidRPr="00ED711C">
        <w:rPr>
          <w:rFonts w:ascii="Calibri" w:hAnsi="Calibri"/>
        </w:rPr>
        <w:t xml:space="preserve"> corrections calculated by DGNSS reference stations will be called DGNSS PRC and the </w:t>
      </w:r>
      <w:proofErr w:type="spellStart"/>
      <w:r w:rsidRPr="00ED711C">
        <w:rPr>
          <w:rFonts w:ascii="Calibri" w:hAnsi="Calibri"/>
        </w:rPr>
        <w:t>Pseudorange</w:t>
      </w:r>
      <w:proofErr w:type="spellEnd"/>
      <w:r w:rsidRPr="00ED711C">
        <w:rPr>
          <w:rFonts w:ascii="Calibri" w:hAnsi="Calibri"/>
        </w:rPr>
        <w:t xml:space="preserve"> corrections calculated mapping EGNOS differential corrections into RTCM format will be called E-DGNSS PRC. </w:t>
      </w:r>
    </w:p>
    <w:p w:rsidR="00ED711C" w:rsidRDefault="00ED711C" w:rsidP="00A37C89">
      <w:pPr>
        <w:pStyle w:val="AnnexHeading1"/>
        <w:numPr>
          <w:ilvl w:val="1"/>
          <w:numId w:val="17"/>
        </w:numPr>
      </w:pPr>
      <w:bookmarkStart w:id="30" w:name="_Toc449627784"/>
      <w:bookmarkStart w:id="31" w:name="_Toc450116878"/>
      <w:r>
        <w:t>Pseudorange Rate Corrections for RTCM 2.X MT1/MT9</w:t>
      </w:r>
      <w:bookmarkEnd w:id="30"/>
      <w:bookmarkEnd w:id="31"/>
    </w:p>
    <w:p w:rsidR="00ED711C" w:rsidRPr="00ED711C" w:rsidRDefault="00ED711C" w:rsidP="00ED711C">
      <w:pPr>
        <w:pStyle w:val="BodyText"/>
      </w:pPr>
      <w:r w:rsidRPr="00ED711C">
        <w:t>RTCM corrections can be reconstructed from SBAS provided data using the following equations:</w:t>
      </w:r>
    </w:p>
    <w:p w:rsidR="00ED711C" w:rsidRPr="00ED711C" w:rsidRDefault="00ED711C" w:rsidP="00ED711C">
      <w:pPr>
        <w:pStyle w:val="MainText"/>
        <w:rPr>
          <w:rFonts w:asciiTheme="minorHAnsi" w:hAnsiTheme="minorHAnsi"/>
          <w:lang w:val="en-US"/>
        </w:rPr>
      </w:pPr>
    </w:p>
    <w:p w:rsidR="00ED711C" w:rsidRPr="00ED711C" w:rsidRDefault="00ED711C" w:rsidP="00ED711C">
      <w:pPr>
        <w:rPr>
          <w:rFonts w:asciiTheme="minorHAnsi" w:hAnsiTheme="minorHAnsi"/>
          <w:lang w:val="en-US"/>
        </w:rPr>
      </w:pPr>
      <m:oMathPara>
        <m:oMath>
          <m:r>
            <w:rPr>
              <w:rFonts w:ascii="Cambria Math" w:hAnsi="Cambria Math"/>
              <w:lang w:val="en-US"/>
            </w:rPr>
            <m:t>PRC</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z-count</m:t>
                  </m:r>
                </m:sub>
              </m:sSub>
            </m:e>
          </m:d>
          <m:r>
            <w:rPr>
              <w:rFonts w:ascii="Cambria Math" w:hAnsi="Cambria Math"/>
              <w:lang w:val="en-US"/>
            </w:rPr>
            <m:t>=PRC</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m:t>
                  </m:r>
                </m:sub>
              </m:sSub>
            </m:e>
          </m:d>
          <m:r>
            <w:rPr>
              <w:rFonts w:ascii="Cambria Math" w:hAnsi="Cambria Math"/>
              <w:lang w:val="en-US"/>
            </w:rPr>
            <m:t>+RRC</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m:t>
                  </m:r>
                </m:sub>
              </m:sSub>
            </m:e>
          </m:d>
          <m: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z-count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m:t>
                  </m:r>
                </m:sub>
              </m:sSub>
            </m:e>
          </m:d>
          <m:r>
            <w:rPr>
              <w:rFonts w:ascii="Cambria Math" w:hAnsi="Cambria Math"/>
              <w:lang w:val="en-US"/>
            </w:rPr>
            <m:t>+δ∆t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z-count</m:t>
                  </m:r>
                </m:sub>
              </m:sSub>
            </m:e>
          </m:d>
          <m:r>
            <w:rPr>
              <w:rFonts w:ascii="Cambria Math" w:hAnsi="Cambria Math"/>
              <w:lang w:val="en-US"/>
            </w:rPr>
            <m:t>×c+ε</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z-count</m:t>
                  </m:r>
                </m:sub>
              </m:sSub>
            </m:e>
          </m:d>
          <m:r>
            <w:rPr>
              <w:rFonts w:ascii="Cambria Math"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IC</m:t>
              </m:r>
            </m:e>
            <m:sub>
              <m:r>
                <w:rPr>
                  <w:rFonts w:ascii="Cambria Math" w:eastAsiaTheme="minorEastAsia" w:hAnsi="Cambria Math"/>
                  <w:lang w:val="en-US"/>
                </w:rPr>
                <m:t>i</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z-count</m:t>
                  </m:r>
                </m:sub>
              </m:sSub>
            </m:e>
          </m:d>
          <m:r>
            <w:rPr>
              <w:rFonts w:ascii="Cambria Math"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TC</m:t>
              </m:r>
            </m:e>
            <m:sub>
              <m:r>
                <w:rPr>
                  <w:rFonts w:ascii="Cambria Math" w:eastAsiaTheme="minorEastAsia" w:hAnsi="Cambria Math"/>
                  <w:lang w:val="en-US"/>
                </w:rPr>
                <m:t>i</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z-count</m:t>
                  </m:r>
                </m:sub>
              </m:sSub>
            </m:e>
          </m:d>
        </m:oMath>
      </m:oMathPara>
    </w:p>
    <w:p w:rsidR="00ED711C" w:rsidRPr="00ED711C" w:rsidRDefault="00ED711C" w:rsidP="00ED711C">
      <w:pPr>
        <w:pStyle w:val="MainText"/>
        <w:rPr>
          <w:rFonts w:asciiTheme="minorHAnsi" w:eastAsiaTheme="minorEastAsia" w:hAnsiTheme="minorHAnsi"/>
          <w:lang w:val="en-US"/>
        </w:rPr>
      </w:pPr>
    </w:p>
    <w:p w:rsidR="00ED711C" w:rsidRPr="00ED711C" w:rsidRDefault="00ED711C" w:rsidP="00ED711C">
      <w:pPr>
        <w:pStyle w:val="MainText"/>
        <w:rPr>
          <w:rFonts w:asciiTheme="minorHAnsi" w:eastAsiaTheme="minorEastAsia" w:hAnsiTheme="minorHAnsi"/>
          <w:lang w:val="en-US"/>
        </w:rPr>
      </w:pPr>
      <w:r w:rsidRPr="00ED711C">
        <w:rPr>
          <w:rFonts w:asciiTheme="minorHAnsi" w:eastAsiaTheme="minorEastAsia" w:hAnsiTheme="minorHAnsi"/>
          <w:lang w:val="en-US"/>
        </w:rPr>
        <w:t>Where: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5842"/>
      </w:tblGrid>
      <w:tr w:rsidR="00ED711C" w:rsidRPr="00ED711C" w:rsidTr="00BA25D5">
        <w:trPr>
          <w:jc w:val="center"/>
        </w:trPr>
        <w:tc>
          <w:tcPr>
            <w:tcW w:w="2802" w:type="dxa"/>
            <w:hideMark/>
          </w:tcPr>
          <w:p w:rsidR="00ED711C" w:rsidRPr="00ED711C" w:rsidRDefault="00ED711C" w:rsidP="00BA25D5">
            <w:pPr>
              <w:rPr>
                <w:rFonts w:asciiTheme="minorHAnsi" w:eastAsiaTheme="minorEastAsia" w:hAnsiTheme="minorHAnsi"/>
                <w:lang w:val="en-US"/>
              </w:rPr>
            </w:pPr>
            <m:oMathPara>
              <m:oMath>
                <m:r>
                  <w:rPr>
                    <w:rFonts w:ascii="Cambria Math" w:hAnsi="Cambria Math"/>
                    <w:lang w:val="en-US"/>
                  </w:rPr>
                  <m:t>PRC(</m:t>
                </m:r>
                <m:sSub>
                  <m:sSubPr>
                    <m:ctrlPr>
                      <w:rPr>
                        <w:rFonts w:ascii="Cambria Math" w:hAnsi="Cambria Math"/>
                        <w:i/>
                        <w:lang w:val="en-US"/>
                      </w:rPr>
                    </m:ctrlPr>
                  </m:sSubPr>
                  <m:e>
                    <m:r>
                      <w:rPr>
                        <w:rFonts w:ascii="Cambria Math" w:hAnsi="Cambria Math"/>
                        <w:lang w:val="en-US"/>
                      </w:rPr>
                      <m:t xml:space="preserve">t </m:t>
                    </m:r>
                  </m:e>
                  <m:sub>
                    <m:r>
                      <w:rPr>
                        <w:rFonts w:ascii="Cambria Math" w:hAnsi="Cambria Math"/>
                        <w:lang w:val="en-US"/>
                      </w:rPr>
                      <m:t>z-count</m:t>
                    </m:r>
                  </m:sub>
                </m:sSub>
                <m:r>
                  <w:rPr>
                    <w:rFonts w:ascii="Cambria Math" w:hAnsi="Cambria Math"/>
                    <w:lang w:val="en-US"/>
                  </w:rPr>
                  <m:t xml:space="preserve">)  </m:t>
                </m:r>
              </m:oMath>
            </m:oMathPara>
          </w:p>
        </w:tc>
        <w:tc>
          <w:tcPr>
            <w:tcW w:w="5842" w:type="dxa"/>
            <w:hideMark/>
          </w:tcPr>
          <w:p w:rsidR="00ED711C" w:rsidRPr="00ED711C" w:rsidRDefault="00ED711C" w:rsidP="00BA25D5">
            <w:pPr>
              <w:pStyle w:val="MainText"/>
              <w:rPr>
                <w:rFonts w:asciiTheme="minorHAnsi" w:eastAsiaTheme="minorEastAsia" w:hAnsiTheme="minorHAnsi"/>
                <w:lang w:val="en-US"/>
              </w:rPr>
            </w:pPr>
            <w:r w:rsidRPr="00ED711C">
              <w:rPr>
                <w:rFonts w:asciiTheme="minorHAnsi" w:eastAsiaTheme="minorEastAsia" w:hAnsiTheme="minorHAnsi"/>
                <w:lang w:val="en-US"/>
              </w:rPr>
              <w:t>is the RTCM MT1 PRC broadcast to the user</w:t>
            </w:r>
          </w:p>
        </w:tc>
      </w:tr>
      <w:tr w:rsidR="00ED711C" w:rsidRPr="00ED711C" w:rsidTr="00BA25D5">
        <w:trPr>
          <w:jc w:val="center"/>
        </w:trPr>
        <w:tc>
          <w:tcPr>
            <w:tcW w:w="2802" w:type="dxa"/>
            <w:hideMark/>
          </w:tcPr>
          <w:p w:rsidR="00ED711C" w:rsidRPr="00ED711C" w:rsidRDefault="00ED711C" w:rsidP="00BA25D5">
            <w:pPr>
              <w:rPr>
                <w:rFonts w:asciiTheme="minorHAnsi" w:eastAsiaTheme="minorEastAsia" w:hAnsiTheme="minorHAnsi"/>
                <w:lang w:val="en-US"/>
              </w:rPr>
            </w:pPr>
            <m:oMathPara>
              <m:oMath>
                <m:r>
                  <w:rPr>
                    <w:rFonts w:ascii="Cambria Math" w:hAnsi="Cambria Math"/>
                    <w:lang w:val="en-US"/>
                  </w:rPr>
                  <m:t>PRC</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m:t>
                        </m:r>
                      </m:sub>
                    </m:sSub>
                  </m:e>
                </m:d>
              </m:oMath>
            </m:oMathPara>
          </w:p>
        </w:tc>
        <w:tc>
          <w:tcPr>
            <w:tcW w:w="5842" w:type="dxa"/>
            <w:hideMark/>
          </w:tcPr>
          <w:p w:rsidR="00ED711C" w:rsidRPr="00ED711C" w:rsidRDefault="00ED711C" w:rsidP="00BA25D5">
            <w:pPr>
              <w:pStyle w:val="MainText"/>
              <w:rPr>
                <w:rFonts w:asciiTheme="minorHAnsi" w:eastAsiaTheme="minorEastAsia" w:hAnsiTheme="minorHAnsi"/>
                <w:lang w:val="en-US"/>
              </w:rPr>
            </w:pPr>
            <w:r w:rsidRPr="00ED711C">
              <w:rPr>
                <w:rFonts w:asciiTheme="minorHAnsi" w:eastAsiaTheme="minorEastAsia" w:hAnsiTheme="minorHAnsi"/>
                <w:lang w:val="en-US"/>
              </w:rPr>
              <w:t>Is the most recent EGNOS fast corrections MT2-5 and 25</w:t>
            </w:r>
          </w:p>
        </w:tc>
      </w:tr>
      <w:tr w:rsidR="00ED711C" w:rsidRPr="00ED711C" w:rsidTr="00BA25D5">
        <w:trPr>
          <w:jc w:val="center"/>
        </w:trPr>
        <w:tc>
          <w:tcPr>
            <w:tcW w:w="2802" w:type="dxa"/>
            <w:hideMark/>
          </w:tcPr>
          <w:p w:rsidR="00ED711C" w:rsidRPr="00ED711C" w:rsidRDefault="00ED711C" w:rsidP="00BA25D5">
            <w:pPr>
              <w:rPr>
                <w:rFonts w:asciiTheme="minorHAnsi" w:eastAsiaTheme="minorEastAsia" w:hAnsiTheme="minorHAnsi"/>
                <w:lang w:val="en-US"/>
              </w:rPr>
            </w:pPr>
            <m:oMathPara>
              <m:oMath>
                <m:r>
                  <w:rPr>
                    <w:rFonts w:ascii="Cambria Math" w:hAnsi="Cambria Math"/>
                    <w:lang w:val="en-US"/>
                  </w:rPr>
                  <m:t>RRC</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m:t>
                        </m:r>
                      </m:sub>
                    </m:sSub>
                  </m:e>
                </m:d>
              </m:oMath>
            </m:oMathPara>
          </w:p>
        </w:tc>
        <w:tc>
          <w:tcPr>
            <w:tcW w:w="5842" w:type="dxa"/>
            <w:hideMark/>
          </w:tcPr>
          <w:p w:rsidR="00ED711C" w:rsidRPr="00ED711C" w:rsidRDefault="00ED711C" w:rsidP="00BA25D5">
            <w:pPr>
              <w:pStyle w:val="MainText"/>
              <w:rPr>
                <w:rFonts w:asciiTheme="minorHAnsi" w:eastAsiaTheme="minorEastAsia" w:hAnsiTheme="minorHAnsi"/>
                <w:lang w:val="en-US"/>
              </w:rPr>
            </w:pPr>
            <w:r w:rsidRPr="00ED711C">
              <w:rPr>
                <w:rFonts w:asciiTheme="minorHAnsi" w:eastAsiaTheme="minorEastAsia" w:hAnsiTheme="minorHAnsi"/>
                <w:lang w:val="en-US"/>
              </w:rPr>
              <w:t>Is the range rate corrections calculated according to equation A-17 in MOPS Appendix A using the most recent fast correction and a previous one.</w:t>
            </w:r>
          </w:p>
        </w:tc>
      </w:tr>
      <w:tr w:rsidR="00ED711C" w:rsidRPr="00ED711C" w:rsidTr="00BA25D5">
        <w:trPr>
          <w:jc w:val="center"/>
        </w:trPr>
        <w:tc>
          <w:tcPr>
            <w:tcW w:w="2802" w:type="dxa"/>
            <w:hideMark/>
          </w:tcPr>
          <w:p w:rsidR="00ED711C" w:rsidRPr="00ED711C" w:rsidRDefault="00ED711C" w:rsidP="00BA25D5">
            <w:pPr>
              <w:rPr>
                <w:rFonts w:asciiTheme="minorHAnsi" w:eastAsiaTheme="minorEastAsia" w:hAnsiTheme="minorHAnsi"/>
                <w:lang w:val="en-US"/>
              </w:rPr>
            </w:pPr>
            <m:oMathPara>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m:t>
                    </m:r>
                  </m:sub>
                </m:sSub>
              </m:oMath>
            </m:oMathPara>
          </w:p>
        </w:tc>
        <w:tc>
          <w:tcPr>
            <w:tcW w:w="5842" w:type="dxa"/>
            <w:hideMark/>
          </w:tcPr>
          <w:p w:rsidR="00ED711C" w:rsidRPr="00ED711C" w:rsidRDefault="00ED711C" w:rsidP="00BA25D5">
            <w:pPr>
              <w:pStyle w:val="MainText"/>
              <w:rPr>
                <w:rFonts w:asciiTheme="minorHAnsi" w:eastAsiaTheme="minorEastAsia" w:hAnsiTheme="minorHAnsi"/>
                <w:lang w:val="en-US"/>
              </w:rPr>
            </w:pPr>
            <w:r w:rsidRPr="00ED711C">
              <w:rPr>
                <w:rFonts w:asciiTheme="minorHAnsi" w:eastAsiaTheme="minorEastAsia" w:hAnsiTheme="minorHAnsi"/>
                <w:lang w:val="en-US"/>
              </w:rPr>
              <w:t>Time of applicability of the most recent EGNOS fast correction</w:t>
            </w:r>
          </w:p>
        </w:tc>
      </w:tr>
      <w:tr w:rsidR="00ED711C" w:rsidRPr="00ED711C" w:rsidTr="00BA25D5">
        <w:trPr>
          <w:jc w:val="center"/>
        </w:trPr>
        <w:tc>
          <w:tcPr>
            <w:tcW w:w="2802" w:type="dxa"/>
            <w:hideMark/>
          </w:tcPr>
          <w:p w:rsidR="00ED711C" w:rsidRPr="00ED711C" w:rsidRDefault="000F43D8" w:rsidP="00BA25D5">
            <w:pPr>
              <w:rPr>
                <w:rFonts w:asciiTheme="minorHAnsi" w:eastAsiaTheme="minorEastAsia" w:hAnsiTheme="minorHAnsi"/>
                <w:lang w:val="en-US"/>
              </w:rPr>
            </w:pPr>
            <m:oMathPara>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z-count</m:t>
                    </m:r>
                  </m:sub>
                </m:sSub>
              </m:oMath>
            </m:oMathPara>
          </w:p>
        </w:tc>
        <w:tc>
          <w:tcPr>
            <w:tcW w:w="5842" w:type="dxa"/>
            <w:hideMark/>
          </w:tcPr>
          <w:p w:rsidR="00ED711C" w:rsidRPr="00ED711C" w:rsidRDefault="00ED711C" w:rsidP="00BA25D5">
            <w:pPr>
              <w:pStyle w:val="MainText"/>
              <w:rPr>
                <w:rFonts w:asciiTheme="minorHAnsi" w:eastAsiaTheme="minorEastAsia" w:hAnsiTheme="minorHAnsi"/>
                <w:lang w:val="en-US"/>
              </w:rPr>
            </w:pPr>
            <w:r w:rsidRPr="00ED711C">
              <w:rPr>
                <w:rFonts w:asciiTheme="minorHAnsi" w:hAnsiTheme="minorHAnsi"/>
                <w:lang w:val="en-US"/>
              </w:rPr>
              <w:t xml:space="preserve">Reference time for the RTCM MT1 parameters </w:t>
            </w:r>
          </w:p>
        </w:tc>
      </w:tr>
      <w:tr w:rsidR="00ED711C" w:rsidRPr="00ED711C" w:rsidTr="00BA25D5">
        <w:trPr>
          <w:jc w:val="center"/>
        </w:trPr>
        <w:tc>
          <w:tcPr>
            <w:tcW w:w="2802" w:type="dxa"/>
            <w:hideMark/>
          </w:tcPr>
          <w:p w:rsidR="00ED711C" w:rsidRPr="00ED711C" w:rsidRDefault="00ED711C" w:rsidP="00BA25D5">
            <w:pPr>
              <w:rPr>
                <w:rFonts w:asciiTheme="minorHAnsi" w:eastAsiaTheme="minorEastAsia" w:hAnsiTheme="minorHAnsi"/>
                <w:lang w:val="en-US"/>
              </w:rPr>
            </w:pPr>
            <m:oMathPara>
              <m:oMath>
                <m:r>
                  <w:rPr>
                    <w:rFonts w:ascii="Cambria Math" w:hAnsi="Cambria Math"/>
                    <w:lang w:val="en-US"/>
                  </w:rPr>
                  <m:t>δ∆t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z-count</m:t>
                        </m:r>
                      </m:sub>
                    </m:sSub>
                  </m:e>
                </m:d>
              </m:oMath>
            </m:oMathPara>
          </w:p>
        </w:tc>
        <w:tc>
          <w:tcPr>
            <w:tcW w:w="5842" w:type="dxa"/>
            <w:hideMark/>
          </w:tcPr>
          <w:p w:rsidR="00ED711C" w:rsidRPr="00ED711C" w:rsidRDefault="00ED711C" w:rsidP="00BA25D5">
            <w:pPr>
              <w:pStyle w:val="MainText"/>
              <w:rPr>
                <w:rFonts w:asciiTheme="minorHAnsi" w:eastAsiaTheme="minorEastAsia" w:hAnsiTheme="minorHAnsi"/>
                <w:lang w:val="en-US"/>
              </w:rPr>
            </w:pPr>
            <w:r w:rsidRPr="00ED711C">
              <w:rPr>
                <w:rFonts w:asciiTheme="minorHAnsi" w:eastAsiaTheme="minorEastAsia" w:hAnsiTheme="minorHAnsi"/>
                <w:lang w:val="en-US"/>
              </w:rPr>
              <w:t xml:space="preserve">EGNOS clock correction from MT25 calculated according to MOPS Appendix A. </w:t>
            </w:r>
          </w:p>
        </w:tc>
      </w:tr>
      <w:tr w:rsidR="00ED711C" w:rsidRPr="00ED711C" w:rsidTr="00BA25D5">
        <w:trPr>
          <w:jc w:val="center"/>
        </w:trPr>
        <w:tc>
          <w:tcPr>
            <w:tcW w:w="2802" w:type="dxa"/>
            <w:hideMark/>
          </w:tcPr>
          <w:p w:rsidR="00ED711C" w:rsidRPr="00ED711C" w:rsidRDefault="00ED711C" w:rsidP="00BA25D5">
            <w:pPr>
              <w:rPr>
                <w:rFonts w:asciiTheme="minorHAnsi" w:hAnsiTheme="minorHAnsi"/>
                <w:lang w:val="en-US"/>
              </w:rPr>
            </w:pPr>
            <m:oMathPara>
              <m:oMath>
                <m:r>
                  <w:rPr>
                    <w:rFonts w:ascii="Cambria Math" w:hAnsi="Cambria Math"/>
                    <w:lang w:val="en-US"/>
                  </w:rPr>
                  <m:t>c</m:t>
                </m:r>
              </m:oMath>
            </m:oMathPara>
          </w:p>
        </w:tc>
        <w:tc>
          <w:tcPr>
            <w:tcW w:w="5842" w:type="dxa"/>
            <w:hideMark/>
          </w:tcPr>
          <w:p w:rsidR="00ED711C" w:rsidRPr="00ED711C" w:rsidRDefault="00ED711C" w:rsidP="00BA25D5">
            <w:pPr>
              <w:pStyle w:val="MainText"/>
              <w:rPr>
                <w:rFonts w:asciiTheme="minorHAnsi" w:eastAsiaTheme="minorEastAsia" w:hAnsiTheme="minorHAnsi"/>
                <w:lang w:val="en-US"/>
              </w:rPr>
            </w:pPr>
            <w:r w:rsidRPr="00ED711C">
              <w:rPr>
                <w:rFonts w:asciiTheme="minorHAnsi" w:eastAsiaTheme="minorEastAsia" w:hAnsiTheme="minorHAnsi"/>
                <w:lang w:val="en-US"/>
              </w:rPr>
              <w:t>Speed of light 2.99792458x10</w:t>
            </w:r>
            <w:r w:rsidRPr="00ED711C">
              <w:rPr>
                <w:rFonts w:asciiTheme="minorHAnsi" w:eastAsiaTheme="minorEastAsia" w:hAnsiTheme="minorHAnsi"/>
                <w:vertAlign w:val="superscript"/>
                <w:lang w:val="en-US"/>
              </w:rPr>
              <w:t>8</w:t>
            </w:r>
            <w:r w:rsidRPr="00ED711C">
              <w:rPr>
                <w:rFonts w:asciiTheme="minorHAnsi" w:eastAsiaTheme="minorEastAsia" w:hAnsiTheme="minorHAnsi"/>
                <w:lang w:val="en-US"/>
              </w:rPr>
              <w:t xml:space="preserve"> m/s</w:t>
            </w:r>
          </w:p>
        </w:tc>
      </w:tr>
      <w:tr w:rsidR="00ED711C" w:rsidRPr="00ED711C" w:rsidTr="00BA25D5">
        <w:trPr>
          <w:jc w:val="center"/>
        </w:trPr>
        <w:tc>
          <w:tcPr>
            <w:tcW w:w="2802" w:type="dxa"/>
            <w:hideMark/>
          </w:tcPr>
          <w:p w:rsidR="00ED711C" w:rsidRPr="00ED711C" w:rsidRDefault="00ED711C" w:rsidP="00BA25D5">
            <w:pPr>
              <w:rPr>
                <w:rFonts w:asciiTheme="minorHAnsi" w:hAnsiTheme="minorHAnsi"/>
                <w:lang w:val="en-US"/>
              </w:rPr>
            </w:pPr>
            <m:oMathPara>
              <m:oMath>
                <m:r>
                  <w:rPr>
                    <w:rFonts w:ascii="Cambria Math" w:hAnsi="Cambria Math"/>
                    <w:lang w:val="en-US"/>
                  </w:rPr>
                  <m:t>ε</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z-count</m:t>
                        </m:r>
                      </m:sub>
                    </m:sSub>
                  </m:e>
                </m:d>
              </m:oMath>
            </m:oMathPara>
          </w:p>
        </w:tc>
        <w:tc>
          <w:tcPr>
            <w:tcW w:w="5842" w:type="dxa"/>
            <w:hideMark/>
          </w:tcPr>
          <w:p w:rsidR="00ED711C" w:rsidRPr="00ED711C" w:rsidRDefault="00ED711C" w:rsidP="00BA25D5">
            <w:pPr>
              <w:pStyle w:val="MainText"/>
              <w:rPr>
                <w:rFonts w:asciiTheme="minorHAnsi" w:eastAsiaTheme="minorEastAsia" w:hAnsiTheme="minorHAnsi"/>
                <w:lang w:val="en-US"/>
              </w:rPr>
            </w:pPr>
            <w:r w:rsidRPr="00ED711C">
              <w:rPr>
                <w:rFonts w:asciiTheme="minorHAnsi" w:eastAsiaTheme="minorEastAsia" w:hAnsiTheme="minorHAnsi"/>
                <w:lang w:val="en-US"/>
              </w:rPr>
              <w:t xml:space="preserve">EGNOS ephemeris correction from MT25 projected to the radial direction user-satellite (line of sight).  This radial ephemeris correction is inaccurate as it is kept the same value for the whole period of use of the E-DGNSS PRC. For a pure SBAS user applying MOPS, the radial </w:t>
            </w:r>
            <w:r w:rsidRPr="00ED711C">
              <w:rPr>
                <w:rFonts w:asciiTheme="minorHAnsi" w:eastAsiaTheme="minorEastAsia" w:hAnsiTheme="minorHAnsi"/>
                <w:lang w:val="en-US"/>
              </w:rPr>
              <w:lastRenderedPageBreak/>
              <w:t xml:space="preserve">ephemeris correction is embedded in the satellite coordinate vector and therefore in the </w:t>
            </w:r>
            <w:proofErr w:type="spellStart"/>
            <w:r w:rsidRPr="00ED711C">
              <w:rPr>
                <w:rFonts w:asciiTheme="minorHAnsi" w:eastAsiaTheme="minorEastAsia" w:hAnsiTheme="minorHAnsi"/>
                <w:lang w:val="en-US"/>
              </w:rPr>
              <w:t>pseudorange</w:t>
            </w:r>
            <w:proofErr w:type="spellEnd"/>
            <w:r w:rsidRPr="00ED711C">
              <w:rPr>
                <w:rFonts w:asciiTheme="minorHAnsi" w:eastAsiaTheme="minorEastAsia" w:hAnsiTheme="minorHAnsi"/>
                <w:lang w:val="en-US"/>
              </w:rPr>
              <w:t xml:space="preserve"> calculation.</w:t>
            </w:r>
          </w:p>
        </w:tc>
      </w:tr>
      <w:tr w:rsidR="00ED711C" w:rsidRPr="00ED711C" w:rsidTr="00BA25D5">
        <w:trPr>
          <w:jc w:val="center"/>
        </w:trPr>
        <w:tc>
          <w:tcPr>
            <w:tcW w:w="2802" w:type="dxa"/>
            <w:hideMark/>
          </w:tcPr>
          <w:p w:rsidR="00ED711C" w:rsidRPr="00ED711C" w:rsidRDefault="000F43D8" w:rsidP="00BA25D5">
            <w:pPr>
              <w:rPr>
                <w:rFonts w:asciiTheme="minorHAnsi" w:eastAsiaTheme="minorEastAsia" w:hAnsiTheme="minorHAnsi"/>
                <w:lang w:val="en-US"/>
              </w:rPr>
            </w:pPr>
            <m:oMathPara>
              <m:oMath>
                <m:sSub>
                  <m:sSubPr>
                    <m:ctrlPr>
                      <w:rPr>
                        <w:rFonts w:ascii="Cambria Math" w:eastAsiaTheme="minorEastAsia" w:hAnsi="Cambria Math"/>
                        <w:i/>
                        <w:lang w:val="en-US"/>
                      </w:rPr>
                    </m:ctrlPr>
                  </m:sSubPr>
                  <m:e>
                    <m:r>
                      <w:rPr>
                        <w:rFonts w:ascii="Cambria Math" w:eastAsiaTheme="minorEastAsia" w:hAnsi="Cambria Math"/>
                        <w:lang w:val="en-US"/>
                      </w:rPr>
                      <m:t>IC</m:t>
                    </m:r>
                  </m:e>
                  <m:sub>
                    <m:r>
                      <w:rPr>
                        <w:rFonts w:ascii="Cambria Math" w:eastAsiaTheme="minorEastAsia" w:hAnsi="Cambria Math"/>
                        <w:lang w:val="en-US"/>
                      </w:rPr>
                      <m:t>i</m:t>
                    </m:r>
                  </m:sub>
                </m:sSub>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z-count</m:t>
                        </m:r>
                      </m:sub>
                    </m:sSub>
                  </m:e>
                </m:d>
              </m:oMath>
            </m:oMathPara>
          </w:p>
        </w:tc>
        <w:tc>
          <w:tcPr>
            <w:tcW w:w="5842" w:type="dxa"/>
            <w:hideMark/>
          </w:tcPr>
          <w:p w:rsidR="00ED711C" w:rsidRPr="00ED711C" w:rsidRDefault="00ED711C" w:rsidP="00BA25D5">
            <w:pPr>
              <w:pStyle w:val="MainText"/>
              <w:rPr>
                <w:rFonts w:asciiTheme="minorHAnsi" w:eastAsiaTheme="minorEastAsia" w:hAnsiTheme="minorHAnsi"/>
                <w:lang w:val="en-US"/>
              </w:rPr>
            </w:pPr>
            <w:r w:rsidRPr="00ED711C">
              <w:rPr>
                <w:rFonts w:asciiTheme="minorHAnsi" w:eastAsiaTheme="minorEastAsia" w:hAnsiTheme="minorHAnsi"/>
                <w:lang w:val="en-US"/>
              </w:rPr>
              <w:t>Is the ionospheric delay calculated according to equation A-41 in MOPS Appendix A. Note this is always a negative value.</w:t>
            </w:r>
          </w:p>
        </w:tc>
      </w:tr>
      <w:tr w:rsidR="00ED711C" w:rsidRPr="00ED711C" w:rsidTr="00BA25D5">
        <w:trPr>
          <w:jc w:val="center"/>
        </w:trPr>
        <w:tc>
          <w:tcPr>
            <w:tcW w:w="2802" w:type="dxa"/>
            <w:hideMark/>
          </w:tcPr>
          <w:p w:rsidR="00ED711C" w:rsidRPr="00ED711C" w:rsidRDefault="000F43D8" w:rsidP="00BA25D5">
            <w:pPr>
              <w:rPr>
                <w:rFonts w:asciiTheme="minorHAnsi" w:hAnsiTheme="minorHAnsi"/>
                <w:lang w:val="en-US"/>
              </w:rPr>
            </w:pPr>
            <m:oMathPara>
              <m:oMath>
                <m:sSub>
                  <m:sSubPr>
                    <m:ctrlPr>
                      <w:rPr>
                        <w:rFonts w:ascii="Cambria Math" w:eastAsiaTheme="minorEastAsia" w:hAnsi="Cambria Math"/>
                        <w:i/>
                        <w:lang w:val="en-US"/>
                      </w:rPr>
                    </m:ctrlPr>
                  </m:sSubPr>
                  <m:e>
                    <m:r>
                      <w:rPr>
                        <w:rFonts w:ascii="Cambria Math" w:eastAsiaTheme="minorEastAsia" w:hAnsi="Cambria Math"/>
                        <w:lang w:val="en-US"/>
                      </w:rPr>
                      <m:t>TC</m:t>
                    </m:r>
                  </m:e>
                  <m:sub>
                    <m:r>
                      <w:rPr>
                        <w:rFonts w:ascii="Cambria Math" w:eastAsiaTheme="minorEastAsia" w:hAnsi="Cambria Math"/>
                        <w:lang w:val="en-US"/>
                      </w:rPr>
                      <m:t>i</m:t>
                    </m:r>
                  </m:sub>
                </m:sSub>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z-count</m:t>
                        </m:r>
                      </m:sub>
                    </m:sSub>
                  </m:e>
                </m:d>
              </m:oMath>
            </m:oMathPara>
          </w:p>
        </w:tc>
        <w:tc>
          <w:tcPr>
            <w:tcW w:w="5842" w:type="dxa"/>
            <w:hideMark/>
          </w:tcPr>
          <w:p w:rsidR="00ED711C" w:rsidRPr="00ED711C" w:rsidRDefault="00ED711C" w:rsidP="00BA25D5">
            <w:pPr>
              <w:pStyle w:val="MainText"/>
              <w:rPr>
                <w:rFonts w:asciiTheme="minorHAnsi" w:eastAsiaTheme="minorEastAsia" w:hAnsiTheme="minorHAnsi"/>
                <w:lang w:val="en-US"/>
              </w:rPr>
            </w:pPr>
            <w:r w:rsidRPr="00ED711C">
              <w:rPr>
                <w:rFonts w:asciiTheme="minorHAnsi" w:eastAsiaTheme="minorEastAsia" w:hAnsiTheme="minorHAnsi"/>
                <w:lang w:val="en-US"/>
              </w:rPr>
              <w:t>Is the tropospheric delay calculated according to section A.4.2.4 in MOPS Appendix A. Note this is always a negative value.</w:t>
            </w:r>
          </w:p>
        </w:tc>
      </w:tr>
    </w:tbl>
    <w:p w:rsidR="00ED711C" w:rsidRPr="00ED711C" w:rsidRDefault="00ED711C" w:rsidP="00ED711C">
      <w:pPr>
        <w:pStyle w:val="MainText"/>
        <w:rPr>
          <w:rFonts w:asciiTheme="minorHAnsi" w:eastAsiaTheme="minorEastAsia" w:hAnsiTheme="minorHAnsi"/>
          <w:lang w:val="en-US"/>
        </w:rPr>
      </w:pPr>
    </w:p>
    <w:p w:rsidR="00ED711C" w:rsidRPr="00ED711C" w:rsidRDefault="00ED711C" w:rsidP="00ED711C">
      <w:pPr>
        <w:pStyle w:val="BodyText"/>
        <w:rPr>
          <w:rFonts w:ascii="Calibri" w:hAnsi="Calibri"/>
        </w:rPr>
      </w:pPr>
      <w:r w:rsidRPr="00ED711C">
        <w:rPr>
          <w:rFonts w:ascii="Calibri" w:hAnsi="Calibri"/>
        </w:rPr>
        <w:t xml:space="preserve">The  </w:t>
      </w:r>
      <m:oMath>
        <m:r>
          <m:rPr>
            <m:sty m:val="p"/>
          </m:rPr>
          <w:rPr>
            <w:rFonts w:ascii="Cambria Math" w:hAnsi="Cambria Math"/>
          </w:rPr>
          <m:t>ε</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z-count</m:t>
                </m:r>
              </m:sub>
            </m:sSub>
          </m:e>
        </m:d>
      </m:oMath>
      <w:r w:rsidRPr="00ED711C">
        <w:rPr>
          <w:rFonts w:ascii="Calibri" w:hAnsi="Calibri"/>
        </w:rPr>
        <w:t xml:space="preserve"> maximum error induced should be estimated. Furthermore, this error contribution is present in the RRC computation below, so it will be somewhat compensated by the PRC estimation mechanism which uses this RRC. It is to be confirmed that the residual effect might then be dependent on radial acceleration only. </w:t>
      </w:r>
    </w:p>
    <w:p w:rsidR="00ED711C" w:rsidRPr="00ED711C" w:rsidRDefault="00ED711C" w:rsidP="00ED711C">
      <w:pPr>
        <w:pStyle w:val="BodyText"/>
        <w:rPr>
          <w:rFonts w:ascii="Calibri" w:hAnsi="Calibri"/>
        </w:rPr>
      </w:pPr>
      <w:r w:rsidRPr="00ED711C">
        <w:rPr>
          <w:rFonts w:ascii="Calibri" w:hAnsi="Calibri"/>
        </w:rPr>
        <w:t xml:space="preserve">The provision of </w:t>
      </w:r>
      <w:proofErr w:type="gramStart"/>
      <w:r w:rsidRPr="00ED711C">
        <w:rPr>
          <w:rFonts w:ascii="Calibri" w:hAnsi="Calibri"/>
        </w:rPr>
        <w:t xml:space="preserve">the </w:t>
      </w:r>
      <m:oMath>
        <m:r>
          <m:rPr>
            <m:sty m:val="p"/>
          </m:rPr>
          <w:rPr>
            <w:rFonts w:ascii="Cambria Math" w:hAnsi="Cambria Math"/>
          </w:rPr>
          <m:t>ε</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z-count</m:t>
                </m:r>
              </m:sub>
            </m:sSub>
          </m:e>
        </m:d>
      </m:oMath>
      <w:r w:rsidRPr="00ED711C">
        <w:rPr>
          <w:rFonts w:ascii="Calibri" w:hAnsi="Calibri"/>
        </w:rPr>
        <w:t xml:space="preserve"> implies</w:t>
      </w:r>
      <w:proofErr w:type="gramEnd"/>
      <w:r w:rsidRPr="00ED711C">
        <w:rPr>
          <w:rFonts w:ascii="Calibri" w:hAnsi="Calibri"/>
        </w:rPr>
        <w:t xml:space="preserve"> the need of the reference station to have track to that specific satellite. However, according to</w:t>
      </w:r>
      <w:r w:rsidR="00E80720">
        <w:rPr>
          <w:rFonts w:ascii="Calibri" w:hAnsi="Calibri"/>
        </w:rPr>
        <w:t xml:space="preserve"> </w:t>
      </w:r>
      <w:r w:rsidR="00E80720">
        <w:rPr>
          <w:rFonts w:ascii="Calibri" w:hAnsi="Calibri"/>
        </w:rPr>
        <w:fldChar w:fldCharType="begin"/>
      </w:r>
      <w:r w:rsidR="00E80720">
        <w:rPr>
          <w:rFonts w:ascii="Calibri" w:hAnsi="Calibri"/>
        </w:rPr>
        <w:instrText xml:space="preserve"> REF _Ref455668049 \r \h </w:instrText>
      </w:r>
      <w:r w:rsidR="00E80720">
        <w:rPr>
          <w:rFonts w:ascii="Calibri" w:hAnsi="Calibri"/>
        </w:rPr>
      </w:r>
      <w:r w:rsidR="00E80720">
        <w:rPr>
          <w:rFonts w:ascii="Calibri" w:hAnsi="Calibri"/>
        </w:rPr>
        <w:fldChar w:fldCharType="separate"/>
      </w:r>
      <w:r w:rsidR="00E15EEB">
        <w:rPr>
          <w:rFonts w:ascii="Calibri" w:hAnsi="Calibri"/>
        </w:rPr>
        <w:t>[5]</w:t>
      </w:r>
      <w:r w:rsidR="00E80720">
        <w:rPr>
          <w:rFonts w:ascii="Calibri" w:hAnsi="Calibri"/>
        </w:rPr>
        <w:fldChar w:fldCharType="end"/>
      </w:r>
      <w:r w:rsidRPr="00ED711C">
        <w:rPr>
          <w:rFonts w:ascii="Calibri" w:hAnsi="Calibri"/>
        </w:rPr>
        <w:t>, DGNSS must send corrections to all satellites in view of the reference station. The satellites monitored by EGNOS might be a different set of satellites than those in view from the DGNSS reference station. The corrections then shall be sent to the subset of GPS satellites monitored by EGNOS and also in view from the station. For the GPS satellites in view by the reference station and not-monitored by EGNOS, the E-DGNSS PRC shall be set to 1000 0000 0000 0000 and the E-DGNSS RRC be set to 1000 0000, preventing the rover to use these satellites.</w:t>
      </w:r>
    </w:p>
    <w:p w:rsidR="00ED711C" w:rsidRPr="00ED711C" w:rsidRDefault="00ED711C" w:rsidP="00ED711C">
      <w:pPr>
        <w:pStyle w:val="BodyText"/>
        <w:rPr>
          <w:rFonts w:ascii="Calibri" w:hAnsi="Calibri"/>
        </w:rPr>
      </w:pPr>
      <w:r w:rsidRPr="00ED711C">
        <w:rPr>
          <w:rFonts w:ascii="Calibri" w:hAnsi="Calibri"/>
        </w:rPr>
        <w:t xml:space="preserve">Upon the transmission of a new clock and ephemeris data from GPS, EGNOS continues to broadcast corrections to the old long term clock and ephemeris data for a period of 2 to 4 minutes so all the users can acquire the new GPS data. The corrections processor should take this EGNOS characteristic into account </w:t>
      </w:r>
    </w:p>
    <w:p w:rsidR="00ED711C" w:rsidRDefault="00ED711C" w:rsidP="00ED711C">
      <w:pPr>
        <w:rPr>
          <w:rFonts w:eastAsiaTheme="minorEastAsia"/>
          <w:lang w:val="en-US"/>
        </w:rPr>
      </w:pPr>
      <w:r>
        <w:rPr>
          <w:rFonts w:eastAsiaTheme="minorEastAsia"/>
          <w:lang w:val="en-US"/>
        </w:rPr>
        <w:t xml:space="preserve"> </w:t>
      </w:r>
    </w:p>
    <w:p w:rsidR="00ED711C" w:rsidRDefault="00ED711C" w:rsidP="00A37C89">
      <w:pPr>
        <w:pStyle w:val="AnnexHeading1"/>
        <w:numPr>
          <w:ilvl w:val="1"/>
          <w:numId w:val="17"/>
        </w:numPr>
      </w:pPr>
      <w:bookmarkStart w:id="32" w:name="_Toc449627785"/>
      <w:bookmarkStart w:id="33" w:name="_Toc450116879"/>
      <w:r>
        <w:t>Range Rate Corrections for RTCM 2.X MT1/MT9</w:t>
      </w:r>
      <w:bookmarkEnd w:id="32"/>
      <w:bookmarkEnd w:id="33"/>
    </w:p>
    <w:p w:rsidR="00ED711C" w:rsidRPr="00ED711C" w:rsidRDefault="00ED711C" w:rsidP="00ED711C">
      <w:pPr>
        <w:pStyle w:val="BodyText"/>
      </w:pPr>
      <w:r w:rsidRPr="00ED711C">
        <w:rPr>
          <w:rFonts w:ascii="Calibri" w:hAnsi="Calibri"/>
        </w:rPr>
        <w:t xml:space="preserve">DGNSS Range Rate Correction (RRC) is an attempt to "extend the life" of the </w:t>
      </w:r>
      <w:proofErr w:type="spellStart"/>
      <w:r w:rsidRPr="00ED711C">
        <w:rPr>
          <w:rFonts w:ascii="Calibri" w:hAnsi="Calibri"/>
        </w:rPr>
        <w:t>pseudorange</w:t>
      </w:r>
      <w:proofErr w:type="spellEnd"/>
      <w:r w:rsidRPr="00ED711C">
        <w:rPr>
          <w:rFonts w:ascii="Calibri" w:hAnsi="Calibri"/>
        </w:rPr>
        <w:t xml:space="preserve"> correction as it "grows old" </w:t>
      </w:r>
      <w:r w:rsidR="00E80720">
        <w:rPr>
          <w:rFonts w:ascii="Calibri" w:hAnsi="Calibri"/>
        </w:rPr>
        <w:fldChar w:fldCharType="begin"/>
      </w:r>
      <w:r w:rsidR="00E80720">
        <w:rPr>
          <w:rFonts w:ascii="Calibri" w:hAnsi="Calibri"/>
        </w:rPr>
        <w:instrText xml:space="preserve"> REF _Ref455668049 \r \h </w:instrText>
      </w:r>
      <w:r w:rsidR="00E80720">
        <w:rPr>
          <w:rFonts w:ascii="Calibri" w:hAnsi="Calibri"/>
        </w:rPr>
      </w:r>
      <w:r w:rsidR="00E80720">
        <w:rPr>
          <w:rFonts w:ascii="Calibri" w:hAnsi="Calibri"/>
        </w:rPr>
        <w:fldChar w:fldCharType="separate"/>
      </w:r>
      <w:r w:rsidR="00E15EEB">
        <w:rPr>
          <w:rFonts w:ascii="Calibri" w:hAnsi="Calibri"/>
        </w:rPr>
        <w:t>[5]</w:t>
      </w:r>
      <w:r w:rsidR="00E80720">
        <w:rPr>
          <w:rFonts w:ascii="Calibri" w:hAnsi="Calibri"/>
        </w:rPr>
        <w:fldChar w:fldCharType="end"/>
      </w:r>
      <w:r w:rsidRPr="00ED711C">
        <w:rPr>
          <w:rFonts w:ascii="Calibri" w:hAnsi="Calibri"/>
        </w:rPr>
        <w:t xml:space="preserve">. A possible E-DGNSS RRC can be calculated using the difference between the last calculation of EGNOS PRC and a previous one available at the corrections processor. The approach </w:t>
      </w:r>
      <w:r w:rsidRPr="00ED711C">
        <w:t xml:space="preserve">proposed from </w:t>
      </w:r>
      <w:r w:rsidR="00E80720">
        <w:fldChar w:fldCharType="begin"/>
      </w:r>
      <w:r w:rsidR="00E80720">
        <w:instrText xml:space="preserve"> REF _Ref455668113 \r \h </w:instrText>
      </w:r>
      <w:r w:rsidR="00E80720">
        <w:fldChar w:fldCharType="separate"/>
      </w:r>
      <w:r w:rsidR="00E15EEB">
        <w:t>[1]</w:t>
      </w:r>
      <w:r w:rsidR="00E80720">
        <w:fldChar w:fldCharType="end"/>
      </w:r>
      <w:r w:rsidRPr="00ED711C">
        <w:t xml:space="preserve"> is basic and a first or second order filter would be possibly more appropriate, especially for the compensation of the residual ephemeris error discussed </w:t>
      </w:r>
      <w:proofErr w:type="gramStart"/>
      <w:r w:rsidRPr="00ED711C">
        <w:t xml:space="preserve">above </w:t>
      </w:r>
      <w:proofErr w:type="gramEnd"/>
      <m:oMath>
        <m:r>
          <w:rPr>
            <w:rFonts w:ascii="Cambria Math" w:hAnsi="Cambria Math"/>
          </w:rPr>
          <m:t>ε</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z</m:t>
                </m:r>
                <m:r>
                  <m:rPr>
                    <m:sty m:val="p"/>
                  </m:rPr>
                  <w:rPr>
                    <w:rFonts w:ascii="Cambria Math" w:hAnsi="Cambria Math"/>
                  </w:rPr>
                  <m:t>-</m:t>
                </m:r>
                <m:r>
                  <w:rPr>
                    <w:rFonts w:ascii="Cambria Math" w:hAnsi="Cambria Math"/>
                  </w:rPr>
                  <m:t>count</m:t>
                </m:r>
              </m:sub>
            </m:sSub>
          </m:e>
        </m:d>
      </m:oMath>
      <w:r w:rsidRPr="00ED711C">
        <w:t xml:space="preserve">. </w:t>
      </w:r>
    </w:p>
    <w:p w:rsidR="00ED711C" w:rsidRPr="00ED711C" w:rsidRDefault="00ED711C" w:rsidP="00ED711C">
      <w:pPr>
        <w:rPr>
          <w:rFonts w:asciiTheme="minorHAnsi" w:hAnsiTheme="minorHAnsi"/>
          <w:lang w:val="en-US"/>
        </w:rPr>
      </w:pPr>
      <m:oMathPara>
        <m:oMath>
          <m:r>
            <w:rPr>
              <w:rFonts w:ascii="Cambria Math" w:hAnsi="Cambria Math"/>
              <w:lang w:val="en-US"/>
            </w:rPr>
            <m:t>RRC</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z-count</m:t>
                  </m:r>
                </m:sub>
              </m:sSub>
            </m:e>
          </m:d>
          <m:r>
            <w:rPr>
              <w:rFonts w:ascii="Cambria Math" w:hAnsi="Cambria Math"/>
              <w:lang w:val="en-US"/>
            </w:rPr>
            <m:t>=</m:t>
          </m:r>
          <m:f>
            <m:fPr>
              <m:ctrlPr>
                <w:rPr>
                  <w:rFonts w:ascii="Cambria Math" w:hAnsi="Cambria Math"/>
                  <w:i/>
                  <w:lang w:val="en-US"/>
                </w:rPr>
              </m:ctrlPr>
            </m:fPr>
            <m:num>
              <m:r>
                <w:rPr>
                  <w:rFonts w:ascii="Cambria Math" w:hAnsi="Cambria Math"/>
                  <w:lang w:val="en-US"/>
                </w:rPr>
                <m:t>PRC</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current</m:t>
                      </m:r>
                    </m:sub>
                  </m:sSub>
                </m:e>
              </m:d>
              <m:r>
                <w:rPr>
                  <w:rFonts w:ascii="Cambria Math" w:hAnsi="Cambria Math"/>
                  <w:lang w:val="en-US"/>
                </w:rPr>
                <m:t>-PRC</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previous</m:t>
                      </m:r>
                    </m:sub>
                  </m:sSub>
                </m:e>
              </m:d>
            </m:num>
            <m:den>
              <m:r>
                <w:rPr>
                  <w:rFonts w:ascii="Cambria Math" w:hAnsi="Cambria Math"/>
                  <w:lang w:val="en-US"/>
                </w:rPr>
                <m:t>∆t</m:t>
              </m:r>
            </m:den>
          </m:f>
        </m:oMath>
      </m:oMathPara>
    </w:p>
    <w:p w:rsidR="00ED711C" w:rsidRPr="00ED711C" w:rsidRDefault="00ED711C" w:rsidP="00ED711C">
      <w:pPr>
        <w:pStyle w:val="MainText"/>
        <w:rPr>
          <w:rFonts w:asciiTheme="minorHAnsi" w:eastAsiaTheme="minorEastAsia" w:hAnsiTheme="minorHAnsi"/>
          <w:lang w:val="en-US"/>
        </w:rPr>
      </w:pPr>
      <w:r w:rsidRPr="00ED711C">
        <w:rPr>
          <w:rFonts w:asciiTheme="minorHAnsi" w:eastAsiaTheme="minorEastAsia" w:hAnsiTheme="minorHAnsi"/>
          <w:lang w:val="en-US"/>
        </w:rPr>
        <w:t>Where: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5842"/>
      </w:tblGrid>
      <w:tr w:rsidR="00ED711C" w:rsidRPr="00ED711C" w:rsidTr="00BA25D5">
        <w:trPr>
          <w:jc w:val="center"/>
        </w:trPr>
        <w:tc>
          <w:tcPr>
            <w:tcW w:w="2802" w:type="dxa"/>
            <w:hideMark/>
          </w:tcPr>
          <w:p w:rsidR="00ED711C" w:rsidRPr="00ED711C" w:rsidRDefault="00ED711C" w:rsidP="00BA25D5">
            <w:pPr>
              <w:rPr>
                <w:rFonts w:asciiTheme="minorHAnsi" w:eastAsiaTheme="minorEastAsia" w:hAnsiTheme="minorHAnsi"/>
                <w:lang w:val="en-US"/>
              </w:rPr>
            </w:pPr>
            <m:oMathPara>
              <m:oMath>
                <m:r>
                  <w:rPr>
                    <w:rFonts w:ascii="Cambria Math" w:hAnsi="Cambria Math"/>
                    <w:lang w:val="en-US"/>
                  </w:rPr>
                  <m:t>RRC(</m:t>
                </m:r>
                <m:sSub>
                  <m:sSubPr>
                    <m:ctrlPr>
                      <w:rPr>
                        <w:rFonts w:ascii="Cambria Math" w:hAnsi="Cambria Math"/>
                        <w:i/>
                        <w:lang w:val="en-US"/>
                      </w:rPr>
                    </m:ctrlPr>
                  </m:sSubPr>
                  <m:e>
                    <m:r>
                      <w:rPr>
                        <w:rFonts w:ascii="Cambria Math" w:hAnsi="Cambria Math"/>
                        <w:lang w:val="en-US"/>
                      </w:rPr>
                      <m:t xml:space="preserve">t </m:t>
                    </m:r>
                  </m:e>
                  <m:sub>
                    <m:r>
                      <w:rPr>
                        <w:rFonts w:ascii="Cambria Math" w:hAnsi="Cambria Math"/>
                        <w:lang w:val="en-US"/>
                      </w:rPr>
                      <m:t>z-count</m:t>
                    </m:r>
                  </m:sub>
                </m:sSub>
                <m:r>
                  <w:rPr>
                    <w:rFonts w:ascii="Cambria Math" w:hAnsi="Cambria Math"/>
                    <w:lang w:val="en-US"/>
                  </w:rPr>
                  <m:t xml:space="preserve">)  </m:t>
                </m:r>
              </m:oMath>
            </m:oMathPara>
          </w:p>
        </w:tc>
        <w:tc>
          <w:tcPr>
            <w:tcW w:w="5842" w:type="dxa"/>
            <w:hideMark/>
          </w:tcPr>
          <w:p w:rsidR="00ED711C" w:rsidRPr="00ED711C" w:rsidRDefault="00ED711C" w:rsidP="00BA25D5">
            <w:pPr>
              <w:pStyle w:val="MainText"/>
              <w:rPr>
                <w:rFonts w:asciiTheme="minorHAnsi" w:eastAsiaTheme="minorEastAsia" w:hAnsiTheme="minorHAnsi"/>
                <w:lang w:val="en-US"/>
              </w:rPr>
            </w:pPr>
            <w:r w:rsidRPr="00ED711C">
              <w:rPr>
                <w:rFonts w:asciiTheme="minorHAnsi" w:eastAsiaTheme="minorEastAsia" w:hAnsiTheme="minorHAnsi"/>
                <w:lang w:val="en-US"/>
              </w:rPr>
              <w:t>is the RTCM MT1 RRC broadcast to the user</w:t>
            </w:r>
          </w:p>
        </w:tc>
      </w:tr>
      <w:tr w:rsidR="00ED711C" w:rsidRPr="00ED711C" w:rsidTr="00BA25D5">
        <w:trPr>
          <w:jc w:val="center"/>
        </w:trPr>
        <w:tc>
          <w:tcPr>
            <w:tcW w:w="2802" w:type="dxa"/>
            <w:hideMark/>
          </w:tcPr>
          <w:p w:rsidR="00ED711C" w:rsidRPr="00ED711C" w:rsidRDefault="00ED711C" w:rsidP="00BA25D5">
            <w:pPr>
              <w:rPr>
                <w:rFonts w:asciiTheme="minorHAnsi" w:eastAsiaTheme="minorEastAsia" w:hAnsiTheme="minorHAnsi"/>
                <w:lang w:val="en-US"/>
              </w:rPr>
            </w:pPr>
            <m:oMathPara>
              <m:oMath>
                <m:r>
                  <w:rPr>
                    <w:rFonts w:ascii="Cambria Math" w:hAnsi="Cambria Math"/>
                    <w:lang w:val="en-US"/>
                  </w:rPr>
                  <m:t>PRC</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current</m:t>
                        </m:r>
                      </m:sub>
                    </m:sSub>
                  </m:e>
                </m:d>
              </m:oMath>
            </m:oMathPara>
          </w:p>
        </w:tc>
        <w:tc>
          <w:tcPr>
            <w:tcW w:w="5842" w:type="dxa"/>
            <w:hideMark/>
          </w:tcPr>
          <w:p w:rsidR="00ED711C" w:rsidRPr="00ED711C" w:rsidRDefault="00ED711C" w:rsidP="00BA25D5">
            <w:pPr>
              <w:pStyle w:val="MainText"/>
              <w:rPr>
                <w:rFonts w:asciiTheme="minorHAnsi" w:eastAsiaTheme="minorEastAsia" w:hAnsiTheme="minorHAnsi"/>
                <w:lang w:val="en-US"/>
              </w:rPr>
            </w:pPr>
            <w:r w:rsidRPr="00ED711C">
              <w:rPr>
                <w:rFonts w:asciiTheme="minorHAnsi" w:eastAsiaTheme="minorEastAsia" w:hAnsiTheme="minorHAnsi"/>
                <w:lang w:val="en-US"/>
              </w:rPr>
              <w:t>Is the most recent E-DGNSS PRC calculated using the last set of EGNOS fast corrections available and its correspondent EGNOS slow corrections and, ionospheric corrections.</w:t>
            </w:r>
          </w:p>
        </w:tc>
      </w:tr>
      <w:tr w:rsidR="00ED711C" w:rsidRPr="00ED711C" w:rsidTr="00BA25D5">
        <w:trPr>
          <w:jc w:val="center"/>
        </w:trPr>
        <w:tc>
          <w:tcPr>
            <w:tcW w:w="2802" w:type="dxa"/>
            <w:hideMark/>
          </w:tcPr>
          <w:p w:rsidR="00ED711C" w:rsidRPr="00ED711C" w:rsidRDefault="00ED711C" w:rsidP="00BA25D5">
            <w:pPr>
              <w:rPr>
                <w:rFonts w:asciiTheme="minorHAnsi" w:eastAsiaTheme="minorEastAsia" w:hAnsiTheme="minorHAnsi"/>
                <w:lang w:val="en-US"/>
              </w:rPr>
            </w:pPr>
            <m:oMathPara>
              <m:oMath>
                <m:r>
                  <w:rPr>
                    <w:rFonts w:ascii="Cambria Math" w:hAnsi="Cambria Math"/>
                    <w:lang w:val="en-US"/>
                  </w:rPr>
                  <m:t>PRC</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previous</m:t>
                        </m:r>
                      </m:sub>
                    </m:sSub>
                  </m:e>
                </m:d>
              </m:oMath>
            </m:oMathPara>
          </w:p>
        </w:tc>
        <w:tc>
          <w:tcPr>
            <w:tcW w:w="5842" w:type="dxa"/>
            <w:hideMark/>
          </w:tcPr>
          <w:p w:rsidR="00ED711C" w:rsidRPr="00ED711C" w:rsidRDefault="00ED711C" w:rsidP="00BA25D5">
            <w:pPr>
              <w:pStyle w:val="MainText"/>
              <w:rPr>
                <w:rFonts w:asciiTheme="minorHAnsi" w:eastAsiaTheme="minorEastAsia" w:hAnsiTheme="minorHAnsi"/>
                <w:lang w:val="en-US"/>
              </w:rPr>
            </w:pPr>
            <w:r w:rsidRPr="00ED711C">
              <w:rPr>
                <w:rFonts w:asciiTheme="minorHAnsi" w:eastAsiaTheme="minorEastAsia" w:hAnsiTheme="minorHAnsi"/>
                <w:lang w:val="en-US"/>
              </w:rPr>
              <w:t xml:space="preserve">Is a previous E-DGNSS PRC calculated using a previous set of EGNOS fast corrections available and its correspondent EGNOS slow corrections </w:t>
            </w:r>
            <w:proofErr w:type="gramStart"/>
            <w:r w:rsidRPr="00ED711C">
              <w:rPr>
                <w:rFonts w:asciiTheme="minorHAnsi" w:eastAsiaTheme="minorEastAsia" w:hAnsiTheme="minorHAnsi"/>
                <w:lang w:val="en-US"/>
              </w:rPr>
              <w:t>and ,</w:t>
            </w:r>
            <w:proofErr w:type="gramEnd"/>
            <w:r w:rsidRPr="00ED711C">
              <w:rPr>
                <w:rFonts w:asciiTheme="minorHAnsi" w:eastAsiaTheme="minorEastAsia" w:hAnsiTheme="minorHAnsi"/>
                <w:lang w:val="en-US"/>
              </w:rPr>
              <w:t xml:space="preserve"> ionospheric corrections.</w:t>
            </w:r>
          </w:p>
        </w:tc>
      </w:tr>
      <w:tr w:rsidR="00ED711C" w:rsidRPr="00ED711C" w:rsidTr="00BA25D5">
        <w:trPr>
          <w:jc w:val="center"/>
        </w:trPr>
        <w:tc>
          <w:tcPr>
            <w:tcW w:w="2802" w:type="dxa"/>
            <w:hideMark/>
          </w:tcPr>
          <w:p w:rsidR="00ED711C" w:rsidRPr="00ED711C" w:rsidRDefault="000F43D8" w:rsidP="00BA25D5">
            <w:pPr>
              <w:rPr>
                <w:rFonts w:asciiTheme="minorHAnsi" w:eastAsiaTheme="minorEastAsia" w:hAnsiTheme="minorHAnsi"/>
                <w:lang w:val="en-US"/>
              </w:rPr>
            </w:pPr>
            <m:oMathPara>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z-count</m:t>
                    </m:r>
                  </m:sub>
                </m:sSub>
              </m:oMath>
            </m:oMathPara>
          </w:p>
        </w:tc>
        <w:tc>
          <w:tcPr>
            <w:tcW w:w="5842" w:type="dxa"/>
            <w:hideMark/>
          </w:tcPr>
          <w:p w:rsidR="00ED711C" w:rsidRPr="00ED711C" w:rsidRDefault="00ED711C" w:rsidP="00BA25D5">
            <w:pPr>
              <w:pStyle w:val="MainText"/>
              <w:rPr>
                <w:rFonts w:asciiTheme="minorHAnsi" w:eastAsiaTheme="minorEastAsia" w:hAnsiTheme="minorHAnsi"/>
                <w:lang w:val="en-US"/>
              </w:rPr>
            </w:pPr>
            <w:r w:rsidRPr="00ED711C">
              <w:rPr>
                <w:rFonts w:asciiTheme="minorHAnsi" w:hAnsiTheme="minorHAnsi"/>
                <w:lang w:val="en-US"/>
              </w:rPr>
              <w:t xml:space="preserve">Reference time for the RTCM MT1 parameters </w:t>
            </w:r>
          </w:p>
        </w:tc>
      </w:tr>
      <w:tr w:rsidR="00ED711C" w:rsidRPr="00ED711C" w:rsidTr="00BA25D5">
        <w:trPr>
          <w:jc w:val="center"/>
        </w:trPr>
        <w:tc>
          <w:tcPr>
            <w:tcW w:w="2802" w:type="dxa"/>
            <w:hideMark/>
          </w:tcPr>
          <w:p w:rsidR="00ED711C" w:rsidRPr="00ED711C" w:rsidRDefault="00ED711C" w:rsidP="00BA25D5">
            <w:pPr>
              <w:rPr>
                <w:rFonts w:asciiTheme="minorHAnsi" w:eastAsiaTheme="minorEastAsia" w:hAnsiTheme="minorHAnsi"/>
                <w:lang w:val="en-US"/>
              </w:rPr>
            </w:pPr>
            <m:oMathPara>
              <m:oMath>
                <m:r>
                  <w:rPr>
                    <w:rFonts w:ascii="Cambria Math" w:hAnsi="Cambria Math"/>
                    <w:lang w:val="en-US"/>
                  </w:rPr>
                  <m:t>∆t</m:t>
                </m:r>
              </m:oMath>
            </m:oMathPara>
          </w:p>
        </w:tc>
        <w:tc>
          <w:tcPr>
            <w:tcW w:w="5842" w:type="dxa"/>
            <w:hideMark/>
          </w:tcPr>
          <w:p w:rsidR="00ED711C" w:rsidRPr="00ED711C" w:rsidRDefault="000F43D8" w:rsidP="00BA25D5">
            <w:pPr>
              <w:pStyle w:val="MainText"/>
              <w:rPr>
                <w:rFonts w:asciiTheme="minorHAnsi" w:eastAsiaTheme="minorEastAsia" w:hAnsiTheme="minorHAnsi"/>
                <w:lang w:val="en-US"/>
              </w:rPr>
            </w:pPr>
            <m:oMathPara>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current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previous</m:t>
                        </m:r>
                      </m:sub>
                    </m:sSub>
                  </m:e>
                </m:d>
              </m:oMath>
            </m:oMathPara>
          </w:p>
        </w:tc>
      </w:tr>
    </w:tbl>
    <w:p w:rsidR="00ED711C" w:rsidRPr="00ED711C" w:rsidRDefault="00ED711C" w:rsidP="00ED711C">
      <w:pPr>
        <w:pStyle w:val="BodyText"/>
        <w:rPr>
          <w:rFonts w:ascii="Calibri" w:hAnsi="Calibri"/>
        </w:rPr>
      </w:pPr>
      <w:r w:rsidRPr="00ED711C">
        <w:rPr>
          <w:rFonts w:ascii="Calibri" w:hAnsi="Calibri"/>
        </w:rPr>
        <w:lastRenderedPageBreak/>
        <w:t>The calculation proposed is in line with MOPS229D. However, other approaches may yield better RRC performance. DGNSS receiver typically use a proprietary RRC algorithms based on a second order filter.</w:t>
      </w:r>
    </w:p>
    <w:p w:rsidR="00ED711C" w:rsidRPr="00ED711C" w:rsidRDefault="00ED711C" w:rsidP="00ED711C">
      <w:pPr>
        <w:pStyle w:val="BodyText"/>
        <w:rPr>
          <w:rFonts w:ascii="Calibri" w:hAnsi="Calibri"/>
        </w:rPr>
      </w:pPr>
      <w:r w:rsidRPr="00ED711C">
        <w:rPr>
          <w:rFonts w:ascii="Calibri" w:hAnsi="Calibri"/>
        </w:rPr>
        <w:t xml:space="preserve">As the update rate of EGNOS fast corrections (typically six seconds) could be higher than the DGNSS MT1 update rate, note that the most recent E-DGNSS and a previous E-DGNSS PRC not necessarily are the last two E-DGNSS broadcast in MT1.  The E-DGNSS PRC is a “snapshot” of the whole EGNOS corrections in the reference station at a specific epoch (slow, fast, ionosphere and troposphere), therefore the update rate might be selected by the reference station and there is no constraint from EGNOS messages update rate.   </w:t>
      </w:r>
    </w:p>
    <w:p w:rsidR="00ED711C" w:rsidRDefault="00ED711C" w:rsidP="00A37C89">
      <w:pPr>
        <w:pStyle w:val="AnnexHeading1"/>
        <w:numPr>
          <w:ilvl w:val="1"/>
          <w:numId w:val="17"/>
        </w:numPr>
      </w:pPr>
      <w:bookmarkStart w:id="34" w:name="_Toc449627786"/>
      <w:bookmarkStart w:id="35" w:name="_Toc450116880"/>
      <w:r>
        <w:t>E-DGNSS UDRE</w:t>
      </w:r>
      <w:bookmarkEnd w:id="34"/>
      <w:bookmarkEnd w:id="35"/>
    </w:p>
    <w:p w:rsidR="00ED711C" w:rsidRPr="00ED711C" w:rsidRDefault="00ED711C" w:rsidP="00ED711C">
      <w:pPr>
        <w:pStyle w:val="BodyText"/>
      </w:pPr>
      <w:r w:rsidRPr="00ED711C">
        <w:t>According to</w:t>
      </w:r>
      <w:r w:rsidR="00E80720">
        <w:t xml:space="preserve"> </w:t>
      </w:r>
      <w:r w:rsidR="00E80720">
        <w:fldChar w:fldCharType="begin"/>
      </w:r>
      <w:r w:rsidR="00E80720">
        <w:instrText xml:space="preserve"> REF _Ref455668049 \r \h </w:instrText>
      </w:r>
      <w:r w:rsidR="00E80720">
        <w:fldChar w:fldCharType="separate"/>
      </w:r>
      <w:r w:rsidR="00E15EEB">
        <w:t>[5]</w:t>
      </w:r>
      <w:r w:rsidR="00E80720">
        <w:fldChar w:fldCharType="end"/>
      </w:r>
      <w:r w:rsidRPr="00ED711C">
        <w:t>, DGNSS UDRE does not support integrity information</w:t>
      </w:r>
      <m:oMath>
        <m:r>
          <m:rPr>
            <m:sty m:val="p"/>
          </m:rPr>
          <w:rPr>
            <w:rFonts w:ascii="Cambria Math" w:hAnsi="Cambria Math"/>
          </w:rPr>
          <m:t xml:space="preserve"> </m:t>
        </m:r>
      </m:oMath>
      <w:r w:rsidRPr="00ED711C">
        <w:t xml:space="preserve">(it is only used to weight the measurements to obtain a more accurate solution), DGNSS UDRE is a one-sigma estimate of the uncertainty in the </w:t>
      </w:r>
      <w:proofErr w:type="spellStart"/>
      <w:r w:rsidRPr="00ED711C">
        <w:t>pseudorange</w:t>
      </w:r>
      <w:proofErr w:type="spellEnd"/>
      <w:r w:rsidRPr="00ED711C">
        <w:t xml:space="preserve"> correction as estimated by the reference station, and combines the estimated effects of multipath, signal-to-noise ratio, and other effects.  </w:t>
      </w:r>
    </w:p>
    <w:p w:rsidR="00ED711C" w:rsidRPr="00ED711C" w:rsidRDefault="00ED711C" w:rsidP="00ED711C">
      <w:pPr>
        <w:pStyle w:val="BodyText"/>
      </w:pPr>
      <w:r w:rsidRPr="00E80720">
        <w:rPr>
          <w:b/>
        </w:rPr>
        <w:t>In the other hand, EGNOS UDRE provides integrity information for the EGNOS user and it only bounds the combined fast and long term corrections</w:t>
      </w:r>
      <w:r w:rsidRPr="00ED711C">
        <w:t xml:space="preserve">. The E-DGNSS UDRE concept should be in line with DGNSS UDRE concept (and not the EGNOS UDRE). The calculation can be done following MOPS Appendix J. </w:t>
      </w:r>
    </w:p>
    <w:p w:rsidR="00ED711C" w:rsidRPr="00ED711C" w:rsidRDefault="000F43D8" w:rsidP="00ED711C">
      <w:pPr>
        <w:rPr>
          <w:rFonts w:asciiTheme="minorHAnsi" w:hAnsiTheme="minorHAnsi"/>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i</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i,flt</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i,UIRE</m:t>
              </m:r>
            </m:sub>
            <m:sup>
              <m:r>
                <w:rPr>
                  <w:rFonts w:ascii="Cambria Math" w:hAnsi="Cambria Math"/>
                  <w:lang w:val="en-US"/>
                </w:rPr>
                <m:t>2</m:t>
              </m:r>
            </m:sup>
          </m:sSubSup>
          <m:sSubSup>
            <m:sSubSupPr>
              <m:ctrlPr>
                <w:rPr>
                  <w:rFonts w:ascii="Cambria Math" w:hAnsi="Cambria Math"/>
                  <w:i/>
                  <w:lang w:val="en-US"/>
                </w:rPr>
              </m:ctrlPr>
            </m:sSubSupPr>
            <m:e>
              <m:r>
                <w:rPr>
                  <w:rFonts w:ascii="Cambria Math" w:hAnsi="Cambria Math"/>
                  <w:lang w:val="en-US"/>
                </w:rPr>
                <m:t xml:space="preserve"> + σ</m:t>
              </m:r>
            </m:e>
            <m:sub>
              <m:r>
                <w:rPr>
                  <w:rFonts w:ascii="Cambria Math" w:hAnsi="Cambria Math"/>
                  <w:lang w:val="en-US"/>
                </w:rPr>
                <m:t>i,TROPO</m:t>
              </m:r>
            </m:sub>
            <m:sup>
              <m:r>
                <w:rPr>
                  <w:rFonts w:ascii="Cambria Math" w:hAnsi="Cambria Math"/>
                  <w:lang w:val="en-US"/>
                </w:rPr>
                <m:t>2</m:t>
              </m:r>
            </m:sup>
          </m:sSubSup>
        </m:oMath>
      </m:oMathPara>
    </w:p>
    <w:p w:rsidR="00ED711C" w:rsidRPr="00ED711C" w:rsidRDefault="00ED711C" w:rsidP="00ED711C">
      <w:pPr>
        <w:pStyle w:val="MainText"/>
        <w:rPr>
          <w:rFonts w:asciiTheme="minorHAnsi" w:hAnsiTheme="minorHAnsi"/>
          <w:lang w:val="en-US"/>
        </w:rPr>
      </w:pPr>
      <w:r w:rsidRPr="00ED711C">
        <w:rPr>
          <w:rFonts w:asciiTheme="minorHAnsi" w:hAnsiTheme="minorHAnsi"/>
          <w:lang w:val="en-US"/>
        </w:rPr>
        <w:t>Where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4"/>
        <w:gridCol w:w="6715"/>
      </w:tblGrid>
      <w:tr w:rsidR="00ED711C" w:rsidRPr="00ED711C" w:rsidTr="00BA25D5">
        <w:trPr>
          <w:jc w:val="center"/>
        </w:trPr>
        <w:tc>
          <w:tcPr>
            <w:tcW w:w="2464" w:type="dxa"/>
            <w:hideMark/>
          </w:tcPr>
          <w:p w:rsidR="00ED711C" w:rsidRPr="00ED711C" w:rsidRDefault="000F43D8" w:rsidP="00BA25D5">
            <w:pPr>
              <w:rPr>
                <w:rFonts w:asciiTheme="minorHAnsi" w:eastAsiaTheme="minorEastAsia" w:hAnsiTheme="minorHAnsi"/>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i</m:t>
                    </m:r>
                  </m:sub>
                  <m:sup>
                    <m:r>
                      <w:rPr>
                        <w:rFonts w:ascii="Cambria Math" w:hAnsi="Cambria Math"/>
                        <w:lang w:val="en-US"/>
                      </w:rPr>
                      <m:t>2</m:t>
                    </m:r>
                  </m:sup>
                </m:sSubSup>
              </m:oMath>
            </m:oMathPara>
          </w:p>
        </w:tc>
        <w:tc>
          <w:tcPr>
            <w:tcW w:w="6715" w:type="dxa"/>
            <w:hideMark/>
          </w:tcPr>
          <w:p w:rsidR="00ED711C" w:rsidRPr="00ED711C" w:rsidRDefault="00ED711C" w:rsidP="00BA25D5">
            <w:pPr>
              <w:pStyle w:val="MainText"/>
              <w:rPr>
                <w:rFonts w:asciiTheme="minorHAnsi" w:eastAsiaTheme="minorEastAsia" w:hAnsiTheme="minorHAnsi"/>
                <w:lang w:val="en-US"/>
              </w:rPr>
            </w:pPr>
            <w:r w:rsidRPr="00ED711C">
              <w:rPr>
                <w:rFonts w:asciiTheme="minorHAnsi" w:eastAsiaTheme="minorEastAsia" w:hAnsiTheme="minorHAnsi"/>
                <w:lang w:val="en-US"/>
              </w:rPr>
              <w:t xml:space="preserve">E-DGNSS UDRE (squared) for an specific satellite at </w:t>
            </w:r>
            <m:oMath>
              <m:sSub>
                <m:sSubPr>
                  <m:ctrlPr>
                    <w:rPr>
                      <w:rFonts w:ascii="Cambria Math" w:hAnsi="Cambria Math"/>
                      <w:i/>
                      <w:lang w:val="en-US"/>
                    </w:rPr>
                  </m:ctrlPr>
                </m:sSubPr>
                <m:e>
                  <m:r>
                    <w:rPr>
                      <w:rFonts w:ascii="Cambria Math" w:hAnsi="Cambria Math"/>
                      <w:lang w:val="en-US"/>
                    </w:rPr>
                    <m:t xml:space="preserve">t </m:t>
                  </m:r>
                </m:e>
                <m:sub>
                  <m:r>
                    <w:rPr>
                      <w:rFonts w:ascii="Cambria Math" w:hAnsi="Cambria Math"/>
                      <w:lang w:val="en-US"/>
                    </w:rPr>
                    <m:t>z-count</m:t>
                  </m:r>
                </m:sub>
              </m:sSub>
              <m:r>
                <w:rPr>
                  <w:rFonts w:ascii="Cambria Math" w:hAnsi="Cambria Math"/>
                  <w:lang w:val="en-US"/>
                </w:rPr>
                <m:t xml:space="preserve">  </m:t>
              </m:r>
            </m:oMath>
          </w:p>
        </w:tc>
      </w:tr>
      <w:tr w:rsidR="00ED711C" w:rsidRPr="00ED711C" w:rsidTr="00BA25D5">
        <w:trPr>
          <w:jc w:val="center"/>
        </w:trPr>
        <w:tc>
          <w:tcPr>
            <w:tcW w:w="2464" w:type="dxa"/>
            <w:hideMark/>
          </w:tcPr>
          <w:p w:rsidR="00ED711C" w:rsidRPr="00ED711C" w:rsidRDefault="000F43D8" w:rsidP="00BA25D5">
            <w:pPr>
              <w:rPr>
                <w:rFonts w:asciiTheme="minorHAnsi" w:eastAsiaTheme="minorEastAsia" w:hAnsiTheme="minorHAnsi"/>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i,flt</m:t>
                    </m:r>
                  </m:sub>
                  <m:sup>
                    <m:r>
                      <w:rPr>
                        <w:rFonts w:ascii="Cambria Math" w:hAnsi="Cambria Math"/>
                        <w:lang w:val="en-US"/>
                      </w:rPr>
                      <m:t>2</m:t>
                    </m:r>
                  </m:sup>
                </m:sSubSup>
              </m:oMath>
            </m:oMathPara>
          </w:p>
        </w:tc>
        <w:tc>
          <w:tcPr>
            <w:tcW w:w="6715" w:type="dxa"/>
            <w:hideMark/>
          </w:tcPr>
          <w:p w:rsidR="00ED711C" w:rsidRPr="00ED711C" w:rsidRDefault="00ED711C" w:rsidP="00BA25D5">
            <w:pPr>
              <w:pStyle w:val="MainText"/>
              <w:rPr>
                <w:rFonts w:asciiTheme="minorHAnsi" w:eastAsiaTheme="minorEastAsia" w:hAnsiTheme="minorHAnsi"/>
                <w:lang w:val="en-US"/>
              </w:rPr>
            </w:pPr>
            <w:r w:rsidRPr="00ED711C">
              <w:rPr>
                <w:rFonts w:asciiTheme="minorHAnsi" w:eastAsiaTheme="minorEastAsia" w:hAnsiTheme="minorHAnsi"/>
                <w:lang w:val="en-US"/>
              </w:rPr>
              <w:t>Model variance for the long term, fast and range rate corrections as defined in MOPS Appendix A and J</w:t>
            </w:r>
          </w:p>
        </w:tc>
      </w:tr>
      <w:tr w:rsidR="00ED711C" w:rsidRPr="00ED711C" w:rsidTr="00BA25D5">
        <w:trPr>
          <w:jc w:val="center"/>
        </w:trPr>
        <w:tc>
          <w:tcPr>
            <w:tcW w:w="2464" w:type="dxa"/>
            <w:hideMark/>
          </w:tcPr>
          <w:p w:rsidR="00ED711C" w:rsidRPr="00ED711C" w:rsidRDefault="000F43D8" w:rsidP="00BA25D5">
            <w:pPr>
              <w:rPr>
                <w:rFonts w:asciiTheme="minorHAnsi" w:eastAsiaTheme="minorEastAsia" w:hAnsiTheme="minorHAnsi"/>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i,UIRE</m:t>
                    </m:r>
                  </m:sub>
                  <m:sup>
                    <m:r>
                      <w:rPr>
                        <w:rFonts w:ascii="Cambria Math" w:hAnsi="Cambria Math"/>
                        <w:lang w:val="en-US"/>
                      </w:rPr>
                      <m:t>2</m:t>
                    </m:r>
                  </m:sup>
                </m:sSubSup>
              </m:oMath>
            </m:oMathPara>
          </w:p>
        </w:tc>
        <w:tc>
          <w:tcPr>
            <w:tcW w:w="6715" w:type="dxa"/>
            <w:hideMark/>
          </w:tcPr>
          <w:p w:rsidR="00ED711C" w:rsidRPr="00ED711C" w:rsidRDefault="00ED711C" w:rsidP="00BA25D5">
            <w:pPr>
              <w:pStyle w:val="MainText"/>
              <w:rPr>
                <w:rFonts w:asciiTheme="minorHAnsi" w:eastAsiaTheme="minorEastAsia" w:hAnsiTheme="minorHAnsi"/>
                <w:lang w:val="en-US"/>
              </w:rPr>
            </w:pPr>
            <w:r w:rsidRPr="00ED711C">
              <w:rPr>
                <w:rFonts w:asciiTheme="minorHAnsi" w:hAnsiTheme="minorHAnsi"/>
                <w:lang w:val="en-US"/>
              </w:rPr>
              <w:t>Model variance for the slant range ionospheric error as defined in MOPS Appendix A and J.</w:t>
            </w:r>
          </w:p>
        </w:tc>
      </w:tr>
      <w:tr w:rsidR="00ED711C" w:rsidRPr="00ED711C" w:rsidTr="00BA25D5">
        <w:trPr>
          <w:jc w:val="center"/>
        </w:trPr>
        <w:tc>
          <w:tcPr>
            <w:tcW w:w="2464" w:type="dxa"/>
            <w:hideMark/>
          </w:tcPr>
          <w:p w:rsidR="00ED711C" w:rsidRPr="00ED711C" w:rsidRDefault="000F43D8" w:rsidP="00BA25D5">
            <w:pPr>
              <w:rPr>
                <w:rFonts w:asciiTheme="minorHAnsi" w:eastAsiaTheme="minorEastAsia" w:hAnsiTheme="minorHAnsi"/>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i,TROPO</m:t>
                    </m:r>
                  </m:sub>
                  <m:sup>
                    <m:r>
                      <w:rPr>
                        <w:rFonts w:ascii="Cambria Math" w:hAnsi="Cambria Math"/>
                        <w:lang w:val="en-US"/>
                      </w:rPr>
                      <m:t>2</m:t>
                    </m:r>
                  </m:sup>
                </m:sSubSup>
              </m:oMath>
            </m:oMathPara>
          </w:p>
        </w:tc>
        <w:tc>
          <w:tcPr>
            <w:tcW w:w="6715" w:type="dxa"/>
            <w:hideMark/>
          </w:tcPr>
          <w:p w:rsidR="00ED711C" w:rsidRPr="00ED711C" w:rsidRDefault="00ED711C" w:rsidP="00BA25D5">
            <w:pPr>
              <w:pStyle w:val="MainText"/>
              <w:rPr>
                <w:rFonts w:asciiTheme="minorHAnsi" w:eastAsiaTheme="minorEastAsia" w:hAnsiTheme="minorHAnsi"/>
                <w:lang w:val="en-US"/>
              </w:rPr>
            </w:pPr>
            <w:r w:rsidRPr="00ED711C">
              <w:rPr>
                <w:rFonts w:asciiTheme="minorHAnsi" w:hAnsiTheme="minorHAnsi"/>
                <w:lang w:val="en-US"/>
              </w:rPr>
              <w:t>Model variance for the tropospheric error as defined in MOPS section A.4.2.5.</w:t>
            </w:r>
          </w:p>
        </w:tc>
      </w:tr>
    </w:tbl>
    <w:p w:rsidR="00ED711C" w:rsidRPr="00ED711C" w:rsidRDefault="00ED711C" w:rsidP="00ED711C">
      <w:pPr>
        <w:pStyle w:val="BodyText"/>
      </w:pPr>
      <w:r w:rsidRPr="00ED711C">
        <w:t>Sigma value obtained will be coded according to Table 4-6 and scaled according to Table 4-2 in</w:t>
      </w:r>
      <w:r w:rsidR="00E80720">
        <w:t xml:space="preserve"> </w:t>
      </w:r>
      <w:r w:rsidR="00E80720">
        <w:fldChar w:fldCharType="begin"/>
      </w:r>
      <w:r w:rsidR="00E80720">
        <w:instrText xml:space="preserve"> REF _Ref455668049 \r \h </w:instrText>
      </w:r>
      <w:r w:rsidR="00E80720">
        <w:fldChar w:fldCharType="separate"/>
      </w:r>
      <w:r w:rsidR="00E15EEB">
        <w:t>[5]</w:t>
      </w:r>
      <w:r w:rsidR="00E80720">
        <w:fldChar w:fldCharType="end"/>
      </w:r>
      <w:r w:rsidRPr="00ED711C">
        <w:t>. Sigma values could vary depending on the location and time but typical ranges could be around 1 m and 5m. DGNSS UDRE scale factors such as 0.3, 0.5 or 0.75 might be the most used.</w:t>
      </w:r>
    </w:p>
    <w:p w:rsidR="00ED711C" w:rsidRDefault="00ED711C" w:rsidP="00A37C89">
      <w:pPr>
        <w:pStyle w:val="AnnexHeading1"/>
        <w:numPr>
          <w:ilvl w:val="1"/>
          <w:numId w:val="17"/>
        </w:numPr>
      </w:pPr>
      <w:bookmarkStart w:id="36" w:name="_Toc449627787"/>
      <w:bookmarkStart w:id="37" w:name="_Toc450116881"/>
      <w:r>
        <w:t>E-DGNSS integrity alerts</w:t>
      </w:r>
      <w:bookmarkEnd w:id="36"/>
      <w:bookmarkEnd w:id="37"/>
    </w:p>
    <w:p w:rsidR="00ED711C" w:rsidRPr="00ED711C" w:rsidRDefault="00ED711C" w:rsidP="00ED711C">
      <w:pPr>
        <w:pStyle w:val="BodyText"/>
      </w:pPr>
      <w:r w:rsidRPr="00ED711C">
        <w:t xml:space="preserve">EGNOS sends integrity flags for GPS satellites. EGNOS effective time to alert is 6 seconds. E-DGNSS must take advantage of the alert information broadcast by EGNOS. E-DGNSS might set a satellite as “Do not Use” (DU) immediately using RTCM MT1 or MT9, if EGNOS sets that satellite DU through EGNOS MT6. For the specific satellite, the DGNSS MT1/9 PRC field shall be set to binary 1000 0000 0000 0000 </w:t>
      </w:r>
      <w:r w:rsidR="009E7614">
        <w:fldChar w:fldCharType="begin"/>
      </w:r>
      <w:r w:rsidR="009E7614">
        <w:instrText xml:space="preserve"> REF _Ref455668049 \r \h </w:instrText>
      </w:r>
      <w:r w:rsidR="009E7614">
        <w:fldChar w:fldCharType="separate"/>
      </w:r>
      <w:r w:rsidR="00E15EEB">
        <w:t>[5]</w:t>
      </w:r>
      <w:r w:rsidR="009E7614">
        <w:fldChar w:fldCharType="end"/>
      </w:r>
      <w:r w:rsidRPr="00ED711C">
        <w:t xml:space="preserve"> and MT1/9 RRC shall be set to binary 1000 0000 which indicates a problem and the User Equipment should immediately stop using this satellite.</w:t>
      </w:r>
    </w:p>
    <w:p w:rsidR="00ED711C" w:rsidRPr="00ED711C" w:rsidRDefault="00ED711C" w:rsidP="00ED711C">
      <w:pPr>
        <w:pStyle w:val="BodyText"/>
      </w:pPr>
      <w:r w:rsidRPr="00ED711C">
        <w:t>Other possible situations when E-DGNSS must send an alert for a satellite are:</w:t>
      </w:r>
    </w:p>
    <w:p w:rsidR="00ED711C" w:rsidRPr="00ED711C" w:rsidRDefault="00ED711C" w:rsidP="00A37C89">
      <w:pPr>
        <w:pStyle w:val="Bullet1"/>
        <w:numPr>
          <w:ilvl w:val="0"/>
          <w:numId w:val="13"/>
        </w:numPr>
        <w:ind w:left="1134" w:hanging="567"/>
        <w:rPr>
          <w:rFonts w:asciiTheme="minorHAnsi" w:hAnsiTheme="minorHAnsi"/>
        </w:rPr>
      </w:pPr>
      <w:proofErr w:type="gramStart"/>
      <w:r w:rsidRPr="00ED711C">
        <w:rPr>
          <w:rFonts w:asciiTheme="minorHAnsi" w:hAnsiTheme="minorHAnsi"/>
          <w:lang w:val="en-US"/>
        </w:rPr>
        <w:t>when</w:t>
      </w:r>
      <w:proofErr w:type="gramEnd"/>
      <w:r w:rsidRPr="00ED711C">
        <w:rPr>
          <w:rFonts w:asciiTheme="minorHAnsi" w:hAnsiTheme="minorHAnsi"/>
          <w:lang w:val="en-US"/>
        </w:rPr>
        <w:t xml:space="preserve"> either the E-DGNSS PRC or the RRC is higher than the maximum range for PRC </w:t>
      </w:r>
      <w:r w:rsidRPr="00ED711C">
        <w:rPr>
          <w:rFonts w:asciiTheme="minorHAnsi" w:hAnsiTheme="minorHAnsi"/>
        </w:rPr>
        <w:t>(±10485.44m) or RRC (±4.064m/s) allowed by RTCM MT1.</w:t>
      </w:r>
    </w:p>
    <w:p w:rsidR="00ED711C" w:rsidRPr="00ED711C" w:rsidRDefault="00ED711C" w:rsidP="00A37C89">
      <w:pPr>
        <w:pStyle w:val="Bullet1"/>
        <w:numPr>
          <w:ilvl w:val="0"/>
          <w:numId w:val="13"/>
        </w:numPr>
        <w:ind w:left="1134" w:hanging="567"/>
        <w:rPr>
          <w:rFonts w:asciiTheme="minorHAnsi" w:hAnsiTheme="minorHAnsi"/>
          <w:lang w:val="en-US"/>
        </w:rPr>
      </w:pPr>
      <w:proofErr w:type="gramStart"/>
      <w:r w:rsidRPr="00ED711C">
        <w:rPr>
          <w:rFonts w:asciiTheme="minorHAnsi" w:hAnsiTheme="minorHAnsi"/>
        </w:rPr>
        <w:t>when</w:t>
      </w:r>
      <w:proofErr w:type="gramEnd"/>
      <w:r w:rsidRPr="00ED711C">
        <w:rPr>
          <w:rFonts w:asciiTheme="minorHAnsi" w:hAnsiTheme="minorHAnsi"/>
        </w:rPr>
        <w:t xml:space="preserve"> EGNOS ionosphere</w:t>
      </w:r>
      <w:r w:rsidRPr="00ED711C">
        <w:rPr>
          <w:rFonts w:asciiTheme="minorHAnsi" w:hAnsiTheme="minorHAnsi"/>
          <w:lang w:val="en-US"/>
        </w:rPr>
        <w:t xml:space="preserve"> corrections are not available for a  satellite monitored by EGNOS.</w:t>
      </w:r>
    </w:p>
    <w:p w:rsidR="00ED711C" w:rsidRDefault="00ED711C" w:rsidP="00ED711C">
      <w:pPr>
        <w:pStyle w:val="ListParagraph"/>
        <w:spacing w:after="200" w:line="276" w:lineRule="auto"/>
        <w:rPr>
          <w:lang w:val="en-US"/>
        </w:rPr>
      </w:pPr>
    </w:p>
    <w:p w:rsidR="00ED711C" w:rsidRDefault="00ED711C" w:rsidP="00A37C89">
      <w:pPr>
        <w:pStyle w:val="AnnexHeading1"/>
        <w:numPr>
          <w:ilvl w:val="1"/>
          <w:numId w:val="17"/>
        </w:numPr>
      </w:pPr>
      <w:bookmarkStart w:id="38" w:name="_Toc449627788"/>
      <w:bookmarkStart w:id="39" w:name="_Toc450116882"/>
      <w:r>
        <w:t>Summary E-DGNSS parameters</w:t>
      </w:r>
      <w:bookmarkEnd w:id="38"/>
      <w:bookmarkEnd w:id="39"/>
    </w:p>
    <w:p w:rsidR="00ED711C" w:rsidRPr="00ED711C" w:rsidRDefault="00ED711C" w:rsidP="00ED711C">
      <w:pPr>
        <w:pStyle w:val="BodyText"/>
        <w:rPr>
          <w:lang w:val="en-US"/>
        </w:rPr>
      </w:pPr>
      <w:r w:rsidRPr="00ED711C">
        <w:rPr>
          <w:lang w:val="en-US"/>
        </w:rPr>
        <w:t>The parameters that must be included for each satellite in RTCM MT1/MT9 for E-DGNSS are:</w:t>
      </w:r>
    </w:p>
    <w:p w:rsidR="005F3988" w:rsidRPr="007A395D" w:rsidRDefault="005F3988" w:rsidP="001B7EA5">
      <w:pPr>
        <w:pStyle w:val="Table"/>
        <w:numPr>
          <w:ilvl w:val="0"/>
          <w:numId w:val="9"/>
        </w:numPr>
        <w:rPr>
          <w:rFonts w:ascii="Calibri" w:hAnsi="Calibri"/>
        </w:rPr>
      </w:pPr>
      <w:r>
        <w:rPr>
          <w:rFonts w:ascii="Calibri" w:hAnsi="Calibri"/>
        </w:rPr>
        <w:t>Derivation of E-DGNSS</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6"/>
        <w:gridCol w:w="4536"/>
      </w:tblGrid>
      <w:tr w:rsidR="005F3988" w:rsidRPr="001B7EA5" w:rsidTr="005F3988">
        <w:tc>
          <w:tcPr>
            <w:tcW w:w="3686" w:type="dxa"/>
            <w:vAlign w:val="center"/>
          </w:tcPr>
          <w:p w:rsidR="005F3988" w:rsidRPr="001B7EA5" w:rsidRDefault="005F3988" w:rsidP="00BA25D5">
            <w:pPr>
              <w:pStyle w:val="BodyText"/>
            </w:pPr>
            <w:r w:rsidRPr="001B7EA5">
              <w:rPr>
                <w:b/>
              </w:rPr>
              <w:lastRenderedPageBreak/>
              <w:t>E-DGNSS Parameter for DGNSS MT1</w:t>
            </w:r>
          </w:p>
        </w:tc>
        <w:tc>
          <w:tcPr>
            <w:tcW w:w="4536" w:type="dxa"/>
            <w:vAlign w:val="center"/>
          </w:tcPr>
          <w:p w:rsidR="005F3988" w:rsidRPr="001B7EA5" w:rsidRDefault="005F3988" w:rsidP="00BA25D5">
            <w:pPr>
              <w:pStyle w:val="BodyText"/>
            </w:pPr>
            <w:r w:rsidRPr="001B7EA5">
              <w:rPr>
                <w:b/>
              </w:rPr>
              <w:t>Derived in</w:t>
            </w:r>
          </w:p>
        </w:tc>
      </w:tr>
      <w:tr w:rsidR="005F3988" w:rsidRPr="001B7EA5" w:rsidTr="005F3988">
        <w:tc>
          <w:tcPr>
            <w:tcW w:w="3686" w:type="dxa"/>
            <w:vAlign w:val="center"/>
          </w:tcPr>
          <w:p w:rsidR="005F3988" w:rsidRPr="001B7EA5" w:rsidRDefault="005F3988" w:rsidP="00BA25D5">
            <w:pPr>
              <w:pStyle w:val="BodyText"/>
            </w:pPr>
            <w:r w:rsidRPr="001B7EA5">
              <w:rPr>
                <w:lang w:val="en-US"/>
              </w:rPr>
              <w:t>UDRE</w:t>
            </w:r>
          </w:p>
        </w:tc>
        <w:tc>
          <w:tcPr>
            <w:tcW w:w="4536" w:type="dxa"/>
          </w:tcPr>
          <w:p w:rsidR="005F3988" w:rsidRPr="001B7EA5" w:rsidRDefault="000F43D8" w:rsidP="00BA25D5">
            <w:pPr>
              <w:pStyle w:val="BodyText"/>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i</m:t>
                    </m:r>
                  </m:sub>
                  <m:sup>
                    <m:r>
                      <w:rPr>
                        <w:rFonts w:ascii="Cambria Math" w:hAnsi="Cambria Math"/>
                        <w:lang w:val="en-US"/>
                      </w:rPr>
                      <m:t>2</m:t>
                    </m:r>
                  </m:sup>
                </m:sSubSup>
              </m:oMath>
            </m:oMathPara>
          </w:p>
        </w:tc>
      </w:tr>
      <w:tr w:rsidR="005F3988" w:rsidRPr="001B7EA5" w:rsidTr="005F3988">
        <w:tc>
          <w:tcPr>
            <w:tcW w:w="3686" w:type="dxa"/>
            <w:vAlign w:val="center"/>
          </w:tcPr>
          <w:p w:rsidR="005F3988" w:rsidRPr="001B7EA5" w:rsidRDefault="005F3988" w:rsidP="00BA25D5">
            <w:pPr>
              <w:pStyle w:val="BodyText"/>
            </w:pPr>
            <w:r w:rsidRPr="001B7EA5">
              <w:rPr>
                <w:lang w:val="en-US"/>
              </w:rPr>
              <w:t>PRC</w:t>
            </w:r>
          </w:p>
        </w:tc>
        <w:tc>
          <w:tcPr>
            <w:tcW w:w="4536" w:type="dxa"/>
          </w:tcPr>
          <w:p w:rsidR="005F3988" w:rsidRPr="001B7EA5" w:rsidRDefault="005F3988" w:rsidP="00BA25D5">
            <w:pPr>
              <w:pStyle w:val="BodyText"/>
            </w:pPr>
            <m:oMathPara>
              <m:oMath>
                <m:r>
                  <w:rPr>
                    <w:rFonts w:ascii="Cambria Math" w:hAnsi="Cambria Math"/>
                    <w:lang w:val="en-US"/>
                  </w:rPr>
                  <m:t>PRC</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z-count</m:t>
                        </m:r>
                      </m:sub>
                    </m:sSub>
                  </m:e>
                </m:d>
              </m:oMath>
            </m:oMathPara>
          </w:p>
        </w:tc>
      </w:tr>
      <w:tr w:rsidR="005F3988" w:rsidRPr="001B7EA5" w:rsidTr="005F3988">
        <w:tc>
          <w:tcPr>
            <w:tcW w:w="3686" w:type="dxa"/>
          </w:tcPr>
          <w:p w:rsidR="005F3988" w:rsidRPr="001B7EA5" w:rsidRDefault="005F3988" w:rsidP="00BA25D5">
            <w:pPr>
              <w:pStyle w:val="BodyText"/>
              <w:rPr>
                <w:lang w:val="en-US"/>
              </w:rPr>
            </w:pPr>
            <w:r w:rsidRPr="001B7EA5">
              <w:rPr>
                <w:lang w:val="en-US"/>
              </w:rPr>
              <w:t>RRC</w:t>
            </w:r>
          </w:p>
        </w:tc>
        <w:tc>
          <w:tcPr>
            <w:tcW w:w="4536" w:type="dxa"/>
          </w:tcPr>
          <w:p w:rsidR="005F3988" w:rsidRPr="001B7EA5" w:rsidRDefault="005F3988" w:rsidP="00BA25D5">
            <w:pPr>
              <w:pStyle w:val="BodyText"/>
            </w:pPr>
            <m:oMathPara>
              <m:oMath>
                <m:r>
                  <w:rPr>
                    <w:rFonts w:ascii="Cambria Math" w:hAnsi="Cambria Math"/>
                    <w:lang w:val="en-US"/>
                  </w:rPr>
                  <m:t>RRC</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z-count</m:t>
                        </m:r>
                      </m:sub>
                    </m:sSub>
                  </m:e>
                </m:d>
              </m:oMath>
            </m:oMathPara>
          </w:p>
        </w:tc>
      </w:tr>
      <w:tr w:rsidR="005F3988" w:rsidRPr="001B7EA5" w:rsidTr="005F3988">
        <w:tc>
          <w:tcPr>
            <w:tcW w:w="3686" w:type="dxa"/>
          </w:tcPr>
          <w:p w:rsidR="005F3988" w:rsidRPr="001B7EA5" w:rsidRDefault="005F3988" w:rsidP="00BA25D5">
            <w:pPr>
              <w:pStyle w:val="BodyText"/>
              <w:rPr>
                <w:lang w:val="en-US"/>
              </w:rPr>
            </w:pPr>
            <w:r w:rsidRPr="001B7EA5">
              <w:rPr>
                <w:lang w:val="en-US"/>
              </w:rPr>
              <w:t>ISSUE OF DATA</w:t>
            </w:r>
          </w:p>
        </w:tc>
        <w:tc>
          <w:tcPr>
            <w:tcW w:w="4536" w:type="dxa"/>
          </w:tcPr>
          <w:p w:rsidR="005F3988" w:rsidRPr="001B7EA5" w:rsidRDefault="005F3988" w:rsidP="009E7614">
            <w:pPr>
              <w:pStyle w:val="BodyText"/>
            </w:pPr>
            <w:r w:rsidRPr="001B7EA5">
              <w:rPr>
                <w:rFonts w:eastAsiaTheme="minorEastAsia"/>
                <w:lang w:val="en-US"/>
              </w:rPr>
              <w:t xml:space="preserve">Issue of data of the GPS navigation data being used. Also included in MT25 of MOPS Appendix A </w:t>
            </w:r>
            <w:r w:rsidR="009E7614" w:rsidRPr="001B7EA5">
              <w:rPr>
                <w:lang w:val="en-US"/>
              </w:rPr>
              <w:fldChar w:fldCharType="begin"/>
            </w:r>
            <w:r w:rsidR="009E7614" w:rsidRPr="001B7EA5">
              <w:rPr>
                <w:rFonts w:eastAsiaTheme="minorEastAsia"/>
                <w:lang w:val="en-US"/>
              </w:rPr>
              <w:instrText xml:space="preserve"> REF _Ref455668113 \r \h </w:instrText>
            </w:r>
            <w:r w:rsidR="001B7EA5" w:rsidRPr="001B7EA5">
              <w:rPr>
                <w:lang w:val="en-US"/>
              </w:rPr>
              <w:instrText xml:space="preserve"> \* MERGEFORMAT </w:instrText>
            </w:r>
            <w:r w:rsidR="009E7614" w:rsidRPr="001B7EA5">
              <w:rPr>
                <w:lang w:val="en-US"/>
              </w:rPr>
            </w:r>
            <w:r w:rsidR="009E7614" w:rsidRPr="001B7EA5">
              <w:rPr>
                <w:lang w:val="en-US"/>
              </w:rPr>
              <w:fldChar w:fldCharType="separate"/>
            </w:r>
            <w:r w:rsidR="00E15EEB">
              <w:rPr>
                <w:rFonts w:eastAsiaTheme="minorEastAsia"/>
                <w:lang w:val="en-US"/>
              </w:rPr>
              <w:t>[1]</w:t>
            </w:r>
            <w:r w:rsidR="009E7614" w:rsidRPr="001B7EA5">
              <w:rPr>
                <w:lang w:val="en-US"/>
              </w:rPr>
              <w:fldChar w:fldCharType="end"/>
            </w:r>
          </w:p>
        </w:tc>
      </w:tr>
    </w:tbl>
    <w:p w:rsidR="005F3988" w:rsidRPr="001B7EA5" w:rsidRDefault="005F3988" w:rsidP="005F3988">
      <w:pPr>
        <w:rPr>
          <w:lang w:eastAsia="en-US"/>
        </w:rPr>
      </w:pPr>
    </w:p>
    <w:sectPr w:rsidR="005F3988" w:rsidRPr="001B7EA5" w:rsidSect="0082480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3D8" w:rsidRDefault="000F43D8" w:rsidP="00362CD9">
      <w:r>
        <w:separator/>
      </w:r>
    </w:p>
  </w:endnote>
  <w:endnote w:type="continuationSeparator" w:id="0">
    <w:p w:rsidR="000F43D8" w:rsidRDefault="000F43D8"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altName w:val="Arial"/>
    <w:panose1 w:val="020B070402020202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BTLRCM+HelveticaNeue-Roman">
    <w:altName w:val="Helvetica Neu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86F" w:rsidRDefault="005A186F">
    <w:pPr>
      <w:pStyle w:val="Footer"/>
    </w:pPr>
    <w:r>
      <w:tab/>
    </w:r>
    <w:r>
      <w:fldChar w:fldCharType="begin"/>
    </w:r>
    <w:r>
      <w:instrText xml:space="preserve"> PAGE   \* MERGEFORMAT </w:instrText>
    </w:r>
    <w:r>
      <w:fldChar w:fldCharType="separate"/>
    </w:r>
    <w:r w:rsidR="0003697F">
      <w:rPr>
        <w:noProof/>
      </w:rPr>
      <w:t>20</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86F" w:rsidRDefault="005A186F" w:rsidP="005F03AC">
    <w:pPr>
      <w:pBdr>
        <w:top w:val="single" w:sz="4" w:space="0" w:color="auto"/>
      </w:pBdr>
      <w:ind w:left="-30" w:right="-894"/>
      <w:jc w:val="center"/>
    </w:pPr>
  </w:p>
  <w:p w:rsidR="005A186F" w:rsidRPr="00793C5F" w:rsidRDefault="005A186F" w:rsidP="005F03AC">
    <w:pPr>
      <w:pBdr>
        <w:top w:val="single" w:sz="4" w:space="0" w:color="auto"/>
      </w:pBdr>
      <w:ind w:left="-30" w:right="-894"/>
      <w:jc w:val="center"/>
    </w:pPr>
    <w:r w:rsidRPr="006D5BBA">
      <w:t xml:space="preserve">ESSP SAS, 18 Avenue Edouard Belin, BPI 602 31401 Toulouse </w:t>
    </w:r>
    <w:proofErr w:type="spellStart"/>
    <w:r>
      <w:t>Cedex</w:t>
    </w:r>
    <w:r w:rsidRPr="00793C5F">
      <w:rPr>
        <w:sz w:val="20"/>
        <w:szCs w:val="20"/>
      </w:rPr>
      <w:t>If</w:t>
    </w:r>
    <w:proofErr w:type="spellEnd"/>
    <w:r w:rsidRPr="00793C5F">
      <w:rPr>
        <w:sz w:val="20"/>
        <w:szCs w:val="20"/>
      </w:rPr>
      <w:t xml:space="preserve"> printed, make sure it is the applicable version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3D8" w:rsidRDefault="000F43D8" w:rsidP="00362CD9">
      <w:r>
        <w:separator/>
      </w:r>
    </w:p>
  </w:footnote>
  <w:footnote w:type="continuationSeparator" w:id="0">
    <w:p w:rsidR="000F43D8" w:rsidRDefault="000F43D8" w:rsidP="00362CD9">
      <w:r>
        <w:continuationSeparator/>
      </w:r>
    </w:p>
  </w:footnote>
  <w:footnote w:id="1">
    <w:p w:rsidR="005A186F" w:rsidRPr="00EA5A97" w:rsidRDefault="005A186F">
      <w:pPr>
        <w:pStyle w:val="FootnoteText"/>
        <w:rPr>
          <w:lang w:val="en-US"/>
        </w:rPr>
      </w:pPr>
      <w:r>
        <w:rPr>
          <w:rStyle w:val="FootnoteReference"/>
        </w:rPr>
        <w:footnoteRef/>
      </w:r>
      <w:r>
        <w:t xml:space="preserve"> </w:t>
      </w:r>
      <w:r w:rsidRPr="00420A38">
        <w:rPr>
          <w:sz w:val="16"/>
          <w:szCs w:val="16"/>
        </w:rPr>
        <w:t>Input document number, to be assigned by the Committee Secretary</w:t>
      </w:r>
    </w:p>
  </w:footnote>
  <w:footnote w:id="2">
    <w:p w:rsidR="005A186F" w:rsidRPr="00037DF4" w:rsidRDefault="005A186F">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86F" w:rsidRDefault="000F43D8">
    <w:pPr>
      <w:pStyle w:val="Header"/>
    </w:pPr>
    <w:r>
      <w:rPr>
        <w:noProof/>
      </w:rPr>
      <w:pict w14:anchorId="41908D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2050" type="#_x0000_t136" style="position:absolute;margin-left:0;margin-top:0;width:623.85pt;height:65.65pt;rotation:315;z-index:-25165516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86F" w:rsidRDefault="005A186F" w:rsidP="007A395D">
    <w:pPr>
      <w:pStyle w:val="Header"/>
      <w:jc w:val="right"/>
    </w:pPr>
    <w:r>
      <w:rPr>
        <w:noProof/>
        <w:lang w:val="en-IE" w:eastAsia="en-IE"/>
      </w:rPr>
      <w:drawing>
        <wp:anchor distT="0" distB="0" distL="114300" distR="114300" simplePos="0" relativeHeight="251665408" behindDoc="0" locked="0" layoutInCell="1" allowOverlap="1" wp14:anchorId="3B39F164" wp14:editId="38EE608C">
          <wp:simplePos x="0" y="0"/>
          <wp:positionH relativeFrom="column">
            <wp:posOffset>5447030</wp:posOffset>
          </wp:positionH>
          <wp:positionV relativeFrom="paragraph">
            <wp:posOffset>-427990</wp:posOffset>
          </wp:positionV>
          <wp:extent cx="574675" cy="560070"/>
          <wp:effectExtent l="0" t="0" r="0" b="0"/>
          <wp:wrapSquare wrapText="bothSides"/>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0F43D8">
      <w:rPr>
        <w:noProof/>
      </w:rPr>
      <w:pict w14:anchorId="165E55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2051" type="#_x0000_t136" style="position:absolute;left:0;text-align:left;margin-left:0;margin-top:0;width:623.85pt;height:65.65pt;rotation:315;z-index:-251653120;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86F" w:rsidRDefault="005A186F" w:rsidP="007A395D">
    <w:pPr>
      <w:pStyle w:val="Header"/>
      <w:jc w:val="center"/>
    </w:pPr>
    <w:r>
      <w:rPr>
        <w:noProof/>
        <w:lang w:val="en-IE" w:eastAsia="en-IE"/>
      </w:rPr>
      <w:drawing>
        <wp:anchor distT="0" distB="0" distL="114300" distR="114300" simplePos="0" relativeHeight="251658240" behindDoc="0" locked="0" layoutInCell="1" allowOverlap="1" wp14:anchorId="2BFA9ED2" wp14:editId="48ABAE76">
          <wp:simplePos x="0" y="0"/>
          <wp:positionH relativeFrom="column">
            <wp:posOffset>2523172</wp:posOffset>
          </wp:positionH>
          <wp:positionV relativeFrom="paragraph">
            <wp:posOffset>-405130</wp:posOffset>
          </wp:positionV>
          <wp:extent cx="852713" cy="831071"/>
          <wp:effectExtent l="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rsidR="005A186F" w:rsidRDefault="005A186F" w:rsidP="007A395D">
    <w:pPr>
      <w:pStyle w:val="Header"/>
      <w:jc w:val="center"/>
    </w:pPr>
  </w:p>
  <w:p w:rsidR="005A186F" w:rsidRDefault="000F43D8" w:rsidP="007A395D">
    <w:pPr>
      <w:pStyle w:val="Header"/>
      <w:jc w:val="center"/>
    </w:pPr>
    <w:r>
      <w:rPr>
        <w:noProof/>
      </w:rPr>
      <w:pict w14:anchorId="4385B9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2049" type="#_x0000_t136" style="position:absolute;left:0;text-align:left;margin-left:0;margin-top:0;width:623.85pt;height:65.65pt;rotation:315;z-index:-251657216;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86F" w:rsidRDefault="005A186F">
    <w:pPr>
      <w:pStyle w:val="Header"/>
    </w:pPr>
    <w:r>
      <w:rPr>
        <w:noProof/>
        <w:lang w:val="en-IE" w:eastAsia="en-IE"/>
      </w:rPr>
      <w:drawing>
        <wp:anchor distT="0" distB="0" distL="114300" distR="114300" simplePos="0" relativeHeight="251667456" behindDoc="0" locked="0" layoutInCell="1" allowOverlap="1" wp14:anchorId="7D50CC57" wp14:editId="1FBC1FE4">
          <wp:simplePos x="0" y="0"/>
          <wp:positionH relativeFrom="column">
            <wp:posOffset>-382772</wp:posOffset>
          </wp:positionH>
          <wp:positionV relativeFrom="paragraph">
            <wp:posOffset>-247723</wp:posOffset>
          </wp:positionV>
          <wp:extent cx="1245600" cy="648000"/>
          <wp:effectExtent l="0" t="0" r="0" b="0"/>
          <wp:wrapNone/>
          <wp:docPr id="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ESSP_Logo_Large_tansparent.tif"/>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245600" cy="648000"/>
                  </a:xfrm>
                  <a:prstGeom prst="rect">
                    <a:avLst/>
                  </a:prstGeom>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86F" w:rsidRDefault="005A186F">
    <w:pPr>
      <w:pStyle w:val="Header"/>
    </w:pPr>
    <w:r>
      <w:rPr>
        <w:noProof/>
        <w:lang w:val="en-IE" w:eastAsia="en-IE"/>
      </w:rPr>
      <w:drawing>
        <wp:anchor distT="0" distB="0" distL="114300" distR="114300" simplePos="0" relativeHeight="251671552" behindDoc="1" locked="0" layoutInCell="1" allowOverlap="1" wp14:anchorId="0F203217" wp14:editId="612E6209">
          <wp:simplePos x="0" y="0"/>
          <wp:positionH relativeFrom="column">
            <wp:posOffset>-946150</wp:posOffset>
          </wp:positionH>
          <wp:positionV relativeFrom="paragraph">
            <wp:posOffset>-449580</wp:posOffset>
          </wp:positionV>
          <wp:extent cx="7559675" cy="10695940"/>
          <wp:effectExtent l="0" t="0" r="3175" b="0"/>
          <wp:wrapNone/>
          <wp:docPr id="48"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940"/>
                  </a:xfrm>
                  <a:prstGeom prst="rect">
                    <a:avLst/>
                  </a:prstGeom>
                </pic:spPr>
              </pic:pic>
            </a:graphicData>
          </a:graphic>
        </wp:anchor>
      </w:drawing>
    </w:r>
    <w:r>
      <w:rPr>
        <w:noProof/>
        <w:lang w:val="en-IE" w:eastAsia="en-IE"/>
      </w:rPr>
      <w:drawing>
        <wp:anchor distT="0" distB="0" distL="114300" distR="114300" simplePos="0" relativeHeight="251672576" behindDoc="0" locked="0" layoutInCell="1" allowOverlap="1" wp14:anchorId="4B73F0A0" wp14:editId="39E2FF8B">
          <wp:simplePos x="0" y="0"/>
          <wp:positionH relativeFrom="column">
            <wp:posOffset>-382772</wp:posOffset>
          </wp:positionH>
          <wp:positionV relativeFrom="paragraph">
            <wp:posOffset>-247723</wp:posOffset>
          </wp:positionV>
          <wp:extent cx="1245600" cy="648000"/>
          <wp:effectExtent l="0" t="0" r="0" b="0"/>
          <wp:wrapNone/>
          <wp:docPr id="49"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ESSP_Logo_Large_tansparent.tif"/>
                  <pic:cNvPicPr/>
                </pic:nvPicPr>
                <pic:blipFill>
                  <a:blip r:embed="rId2"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245600" cy="6480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81545ED"/>
    <w:multiLevelType w:val="hybridMultilevel"/>
    <w:tmpl w:val="3B441452"/>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8D6414"/>
    <w:multiLevelType w:val="multilevel"/>
    <w:tmpl w:val="B9A0CDF6"/>
    <w:lvl w:ilvl="0">
      <w:start w:val="1"/>
      <w:numFmt w:val="decimal"/>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F3A5DE8"/>
    <w:multiLevelType w:val="hybridMultilevel"/>
    <w:tmpl w:val="C7D821C2"/>
    <w:lvl w:ilvl="0" w:tplc="0C0A0001">
      <w:start w:val="1"/>
      <w:numFmt w:val="bullet"/>
      <w:lvlText w:val=""/>
      <w:lvlJc w:val="left"/>
      <w:pPr>
        <w:ind w:left="783" w:hanging="360"/>
      </w:pPr>
      <w:rPr>
        <w:rFonts w:ascii="Symbol" w:hAnsi="Symbol" w:hint="default"/>
      </w:rPr>
    </w:lvl>
    <w:lvl w:ilvl="1" w:tplc="0C0A0003" w:tentative="1">
      <w:start w:val="1"/>
      <w:numFmt w:val="bullet"/>
      <w:lvlText w:val="o"/>
      <w:lvlJc w:val="left"/>
      <w:pPr>
        <w:ind w:left="1503" w:hanging="360"/>
      </w:pPr>
      <w:rPr>
        <w:rFonts w:ascii="Courier New" w:hAnsi="Courier New" w:cs="Courier New" w:hint="default"/>
      </w:rPr>
    </w:lvl>
    <w:lvl w:ilvl="2" w:tplc="0C0A0005" w:tentative="1">
      <w:start w:val="1"/>
      <w:numFmt w:val="bullet"/>
      <w:lvlText w:val=""/>
      <w:lvlJc w:val="left"/>
      <w:pPr>
        <w:ind w:left="2223" w:hanging="360"/>
      </w:pPr>
      <w:rPr>
        <w:rFonts w:ascii="Wingdings" w:hAnsi="Wingdings" w:hint="default"/>
      </w:rPr>
    </w:lvl>
    <w:lvl w:ilvl="3" w:tplc="0C0A0001" w:tentative="1">
      <w:start w:val="1"/>
      <w:numFmt w:val="bullet"/>
      <w:lvlText w:val=""/>
      <w:lvlJc w:val="left"/>
      <w:pPr>
        <w:ind w:left="2943" w:hanging="360"/>
      </w:pPr>
      <w:rPr>
        <w:rFonts w:ascii="Symbol" w:hAnsi="Symbol" w:hint="default"/>
      </w:rPr>
    </w:lvl>
    <w:lvl w:ilvl="4" w:tplc="0C0A0003" w:tentative="1">
      <w:start w:val="1"/>
      <w:numFmt w:val="bullet"/>
      <w:lvlText w:val="o"/>
      <w:lvlJc w:val="left"/>
      <w:pPr>
        <w:ind w:left="3663" w:hanging="360"/>
      </w:pPr>
      <w:rPr>
        <w:rFonts w:ascii="Courier New" w:hAnsi="Courier New" w:cs="Courier New" w:hint="default"/>
      </w:rPr>
    </w:lvl>
    <w:lvl w:ilvl="5" w:tplc="0C0A0005" w:tentative="1">
      <w:start w:val="1"/>
      <w:numFmt w:val="bullet"/>
      <w:lvlText w:val=""/>
      <w:lvlJc w:val="left"/>
      <w:pPr>
        <w:ind w:left="4383" w:hanging="360"/>
      </w:pPr>
      <w:rPr>
        <w:rFonts w:ascii="Wingdings" w:hAnsi="Wingdings" w:hint="default"/>
      </w:rPr>
    </w:lvl>
    <w:lvl w:ilvl="6" w:tplc="0C0A0001" w:tentative="1">
      <w:start w:val="1"/>
      <w:numFmt w:val="bullet"/>
      <w:lvlText w:val=""/>
      <w:lvlJc w:val="left"/>
      <w:pPr>
        <w:ind w:left="5103" w:hanging="360"/>
      </w:pPr>
      <w:rPr>
        <w:rFonts w:ascii="Symbol" w:hAnsi="Symbol" w:hint="default"/>
      </w:rPr>
    </w:lvl>
    <w:lvl w:ilvl="7" w:tplc="0C0A0003" w:tentative="1">
      <w:start w:val="1"/>
      <w:numFmt w:val="bullet"/>
      <w:lvlText w:val="o"/>
      <w:lvlJc w:val="left"/>
      <w:pPr>
        <w:ind w:left="5823" w:hanging="360"/>
      </w:pPr>
      <w:rPr>
        <w:rFonts w:ascii="Courier New" w:hAnsi="Courier New" w:cs="Courier New" w:hint="default"/>
      </w:rPr>
    </w:lvl>
    <w:lvl w:ilvl="8" w:tplc="0C0A0005" w:tentative="1">
      <w:start w:val="1"/>
      <w:numFmt w:val="bullet"/>
      <w:lvlText w:val=""/>
      <w:lvlJc w:val="left"/>
      <w:pPr>
        <w:ind w:left="6543" w:hanging="360"/>
      </w:pPr>
      <w:rPr>
        <w:rFonts w:ascii="Wingdings" w:hAnsi="Wingdings" w:hint="default"/>
      </w:rPr>
    </w:lvl>
  </w:abstractNum>
  <w:abstractNum w:abstractNumId="4">
    <w:nsid w:val="1A450035"/>
    <w:multiLevelType w:val="multilevel"/>
    <w:tmpl w:val="6B0C1D72"/>
    <w:lvl w:ilvl="0">
      <w:start w:val="1"/>
      <w:numFmt w:val="upperLetter"/>
      <w:pStyle w:val="Appendix-1"/>
      <w:lvlText w:val="Appendix %1"/>
      <w:lvlJc w:val="left"/>
      <w:pPr>
        <w:tabs>
          <w:tab w:val="num" w:pos="2160"/>
        </w:tabs>
        <w:ind w:left="360" w:hanging="360"/>
      </w:pPr>
      <w:rPr>
        <w:rFonts w:hint="default"/>
      </w:rPr>
    </w:lvl>
    <w:lvl w:ilvl="1">
      <w:start w:val="1"/>
      <w:numFmt w:val="decimal"/>
      <w:lvlText w:val="Appendix %1.%2"/>
      <w:lvlJc w:val="left"/>
      <w:pPr>
        <w:tabs>
          <w:tab w:val="num" w:pos="2520"/>
        </w:tabs>
        <w:ind w:left="792" w:hanging="432"/>
      </w:pPr>
      <w:rPr>
        <w:rFonts w:hint="default"/>
        <w:u w:val="none"/>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5">
    <w:nsid w:val="1E4E4336"/>
    <w:multiLevelType w:val="multilevel"/>
    <w:tmpl w:val="5846DD04"/>
    <w:lvl w:ilvl="0">
      <w:start w:val="1"/>
      <w:numFmt w:val="upperLetter"/>
      <w:pStyle w:val="Annex1"/>
      <w:lvlText w:val="Appendix %1."/>
      <w:lvlJc w:val="left"/>
      <w:pPr>
        <w:ind w:left="720" w:hanging="360"/>
      </w:pPr>
      <w:rPr>
        <w:rFonts w:hint="default"/>
      </w:rPr>
    </w:lvl>
    <w:lvl w:ilvl="1">
      <w:start w:val="1"/>
      <w:numFmt w:val="decimal"/>
      <w:lvlText w:val="Appendix  A.%2."/>
      <w:lvlJc w:val="left"/>
      <w:pPr>
        <w:ind w:left="1440" w:hanging="360"/>
      </w:pPr>
      <w:rPr>
        <w:rFonts w:hint="default"/>
      </w:rPr>
    </w:lvl>
    <w:lvl w:ilvl="2">
      <w:start w:val="1"/>
      <w:numFmt w:val="decimal"/>
      <w:lvlText w:val="Appendix  A. %2.%3."/>
      <w:lvlJc w:val="right"/>
      <w:pPr>
        <w:ind w:left="2160" w:hanging="108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3AA75C1"/>
    <w:multiLevelType w:val="hybridMultilevel"/>
    <w:tmpl w:val="7CAE93A8"/>
    <w:lvl w:ilvl="0" w:tplc="F53490C4">
      <w:start w:val="1"/>
      <w:numFmt w:val="upperLetter"/>
      <w:pStyle w:val="Annex2"/>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6CA41F0"/>
    <w:multiLevelType w:val="hybridMultilevel"/>
    <w:tmpl w:val="B3845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9042CCF"/>
    <w:multiLevelType w:val="multilevel"/>
    <w:tmpl w:val="4F8066B8"/>
    <w:lvl w:ilvl="0">
      <w:start w:val="1"/>
      <w:numFmt w:val="decimal"/>
      <w:pStyle w:val="Annex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8832FE2"/>
    <w:multiLevelType w:val="hybridMultilevel"/>
    <w:tmpl w:val="4C1A0644"/>
    <w:lvl w:ilvl="0" w:tplc="0C0A0001">
      <w:start w:val="1"/>
      <w:numFmt w:val="bullet"/>
      <w:lvlText w:val=""/>
      <w:lvlJc w:val="left"/>
      <w:pPr>
        <w:ind w:left="720" w:hanging="360"/>
      </w:pPr>
      <w:rPr>
        <w:rFonts w:ascii="Symbol" w:hAnsi="Symbol" w:hint="default"/>
      </w:rPr>
    </w:lvl>
    <w:lvl w:ilvl="1" w:tplc="498E36A2">
      <w:start w:val="5"/>
      <w:numFmt w:val="bullet"/>
      <w:lvlText w:val="-"/>
      <w:lvlJc w:val="left"/>
      <w:pPr>
        <w:ind w:left="1440" w:hanging="360"/>
      </w:pPr>
      <w:rPr>
        <w:rFonts w:ascii="Times New Roman" w:eastAsia="Times New Roman" w:hAnsi="Times New Roman"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4">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9906065"/>
    <w:multiLevelType w:val="hybridMultilevel"/>
    <w:tmpl w:val="BEFEC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D16EE1"/>
    <w:multiLevelType w:val="hybridMultilevel"/>
    <w:tmpl w:val="D9041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AD214F2"/>
    <w:multiLevelType w:val="hybridMultilevel"/>
    <w:tmpl w:val="50DEBF5E"/>
    <w:lvl w:ilvl="0" w:tplc="EDA80236">
      <w:start w:val="1"/>
      <w:numFmt w:val="bullet"/>
      <w:pStyle w:val="1stleve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Symbo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Symbo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516B2EC4"/>
    <w:multiLevelType w:val="hybridMultilevel"/>
    <w:tmpl w:val="8FFAD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1B55D23"/>
    <w:multiLevelType w:val="multilevel"/>
    <w:tmpl w:val="1C36B6DC"/>
    <w:lvl w:ilvl="0">
      <w:start w:val="1"/>
      <w:numFmt w:val="decimal"/>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59821908"/>
    <w:multiLevelType w:val="hybridMultilevel"/>
    <w:tmpl w:val="98A21910"/>
    <w:lvl w:ilvl="0" w:tplc="A2E6E910">
      <w:start w:val="1"/>
      <w:numFmt w:val="bullet"/>
      <w:pStyle w:val="4thlevelbullet"/>
      <w:lvlText w:val=""/>
      <w:lvlJc w:val="left"/>
      <w:pPr>
        <w:tabs>
          <w:tab w:val="num" w:pos="1418"/>
        </w:tabs>
        <w:ind w:left="1418" w:hanging="284"/>
      </w:pPr>
      <w:rPr>
        <w:rFonts w:ascii="Wingdings" w:hAnsi="Wingdings" w:hint="default"/>
      </w:rPr>
    </w:lvl>
    <w:lvl w:ilvl="1" w:tplc="A2DA1BD4">
      <w:start w:val="1"/>
      <w:numFmt w:val="bullet"/>
      <w:lvlText w:val=""/>
      <w:lvlJc w:val="left"/>
      <w:pPr>
        <w:tabs>
          <w:tab w:val="num" w:pos="1800"/>
        </w:tabs>
        <w:ind w:left="1800" w:hanging="360"/>
      </w:pPr>
      <w:rPr>
        <w:rFonts w:ascii="Wingdings" w:hAnsi="Wingdings" w:hint="default"/>
      </w:rPr>
    </w:lvl>
    <w:lvl w:ilvl="2" w:tplc="FFFFFFFF">
      <w:numFmt w:val="bullet"/>
      <w:lvlText w:val="-"/>
      <w:lvlJc w:val="left"/>
      <w:pPr>
        <w:tabs>
          <w:tab w:val="num" w:pos="2520"/>
        </w:tabs>
        <w:ind w:left="2520" w:hanging="360"/>
      </w:pPr>
      <w:rPr>
        <w:rFonts w:ascii="Times New Roman" w:eastAsia="Times New Roman" w:hAnsi="Times New Roman" w:cs="Times New Roman"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Symbol"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Symbol"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2">
    <w:nsid w:val="60585238"/>
    <w:multiLevelType w:val="multilevel"/>
    <w:tmpl w:val="A6D258AA"/>
    <w:lvl w:ilvl="0">
      <w:start w:val="1"/>
      <w:numFmt w:val="decimal"/>
      <w:pStyle w:val="Annex"/>
      <w:lvlText w:val="ANNEX %1."/>
      <w:lvlJc w:val="left"/>
      <w:pPr>
        <w:ind w:left="360" w:hanging="36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1583242"/>
    <w:multiLevelType w:val="multilevel"/>
    <w:tmpl w:val="E42AD714"/>
    <w:lvl w:ilvl="0">
      <w:start w:val="1"/>
      <w:numFmt w:val="decimal"/>
      <w:lvlText w:val="ANNEX %1."/>
      <w:lvlJc w:val="left"/>
      <w:pPr>
        <w:ind w:left="360" w:hanging="36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34C1CBF"/>
    <w:multiLevelType w:val="singleLevel"/>
    <w:tmpl w:val="1F66FCE8"/>
    <w:lvl w:ilvl="0">
      <w:start w:val="1"/>
      <w:numFmt w:val="decimal"/>
      <w:pStyle w:val="Figure"/>
      <w:lvlText w:val="Figure %1"/>
      <w:lvlJc w:val="left"/>
      <w:pPr>
        <w:tabs>
          <w:tab w:val="num" w:pos="1134"/>
        </w:tabs>
        <w:ind w:left="1134" w:hanging="1134"/>
      </w:pPr>
      <w:rPr>
        <w:rFonts w:ascii="Arial" w:hAnsi="Arial" w:hint="default"/>
        <w:b w:val="0"/>
        <w:i/>
        <w:sz w:val="22"/>
        <w:szCs w:val="22"/>
      </w:rPr>
    </w:lvl>
  </w:abstractNum>
  <w:abstractNum w:abstractNumId="25">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71342F3E"/>
    <w:multiLevelType w:val="hybridMultilevel"/>
    <w:tmpl w:val="3B24446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7">
    <w:nsid w:val="7C615D64"/>
    <w:multiLevelType w:val="hybridMultilevel"/>
    <w:tmpl w:val="F1EEF15A"/>
    <w:lvl w:ilvl="0" w:tplc="FBF0EAD6">
      <w:start w:val="1"/>
      <w:numFmt w:val="decimalZero"/>
      <w:pStyle w:val="BulletInput"/>
      <w:lvlText w:val="Input %1 - "/>
      <w:lvlJc w:val="left"/>
      <w:pPr>
        <w:tabs>
          <w:tab w:val="num" w:pos="1985"/>
        </w:tabs>
        <w:ind w:left="1985" w:hanging="1418"/>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C0019" w:tentative="1">
      <w:start w:val="1"/>
      <w:numFmt w:val="lowerLetter"/>
      <w:lvlText w:val="%2."/>
      <w:lvlJc w:val="left"/>
      <w:pPr>
        <w:tabs>
          <w:tab w:val="num" w:pos="1619"/>
        </w:tabs>
        <w:ind w:left="1619" w:hanging="360"/>
      </w:pPr>
    </w:lvl>
    <w:lvl w:ilvl="2" w:tplc="040C001B" w:tentative="1">
      <w:start w:val="1"/>
      <w:numFmt w:val="lowerRoman"/>
      <w:lvlText w:val="%3."/>
      <w:lvlJc w:val="right"/>
      <w:pPr>
        <w:tabs>
          <w:tab w:val="num" w:pos="2339"/>
        </w:tabs>
        <w:ind w:left="2339" w:hanging="180"/>
      </w:pPr>
    </w:lvl>
    <w:lvl w:ilvl="3" w:tplc="040C000F" w:tentative="1">
      <w:start w:val="1"/>
      <w:numFmt w:val="decimal"/>
      <w:lvlText w:val="%4."/>
      <w:lvlJc w:val="left"/>
      <w:pPr>
        <w:tabs>
          <w:tab w:val="num" w:pos="3059"/>
        </w:tabs>
        <w:ind w:left="3059" w:hanging="360"/>
      </w:pPr>
    </w:lvl>
    <w:lvl w:ilvl="4" w:tplc="040C0019" w:tentative="1">
      <w:start w:val="1"/>
      <w:numFmt w:val="lowerLetter"/>
      <w:lvlText w:val="%5."/>
      <w:lvlJc w:val="left"/>
      <w:pPr>
        <w:tabs>
          <w:tab w:val="num" w:pos="3779"/>
        </w:tabs>
        <w:ind w:left="3779" w:hanging="360"/>
      </w:pPr>
    </w:lvl>
    <w:lvl w:ilvl="5" w:tplc="040C001B" w:tentative="1">
      <w:start w:val="1"/>
      <w:numFmt w:val="lowerRoman"/>
      <w:lvlText w:val="%6."/>
      <w:lvlJc w:val="right"/>
      <w:pPr>
        <w:tabs>
          <w:tab w:val="num" w:pos="4499"/>
        </w:tabs>
        <w:ind w:left="4499" w:hanging="180"/>
      </w:pPr>
    </w:lvl>
    <w:lvl w:ilvl="6" w:tplc="040C000F" w:tentative="1">
      <w:start w:val="1"/>
      <w:numFmt w:val="decimal"/>
      <w:lvlText w:val="%7."/>
      <w:lvlJc w:val="left"/>
      <w:pPr>
        <w:tabs>
          <w:tab w:val="num" w:pos="5219"/>
        </w:tabs>
        <w:ind w:left="5219" w:hanging="360"/>
      </w:pPr>
    </w:lvl>
    <w:lvl w:ilvl="7" w:tplc="040C0019" w:tentative="1">
      <w:start w:val="1"/>
      <w:numFmt w:val="lowerLetter"/>
      <w:lvlText w:val="%8."/>
      <w:lvlJc w:val="left"/>
      <w:pPr>
        <w:tabs>
          <w:tab w:val="num" w:pos="5939"/>
        </w:tabs>
        <w:ind w:left="5939" w:hanging="360"/>
      </w:pPr>
    </w:lvl>
    <w:lvl w:ilvl="8" w:tplc="040C001B" w:tentative="1">
      <w:start w:val="1"/>
      <w:numFmt w:val="lowerRoman"/>
      <w:lvlText w:val="%9."/>
      <w:lvlJc w:val="right"/>
      <w:pPr>
        <w:tabs>
          <w:tab w:val="num" w:pos="6659"/>
        </w:tabs>
        <w:ind w:left="6659" w:hanging="180"/>
      </w:pPr>
    </w:lvl>
  </w:abstractNum>
  <w:num w:numId="1">
    <w:abstractNumId w:val="22"/>
  </w:num>
  <w:num w:numId="2">
    <w:abstractNumId w:val="15"/>
  </w:num>
  <w:num w:numId="3">
    <w:abstractNumId w:val="2"/>
  </w:num>
  <w:num w:numId="4">
    <w:abstractNumId w:val="25"/>
  </w:num>
  <w:num w:numId="5">
    <w:abstractNumId w:val="11"/>
  </w:num>
  <w:num w:numId="6">
    <w:abstractNumId w:val="8"/>
  </w:num>
  <w:num w:numId="7">
    <w:abstractNumId w:val="24"/>
  </w:num>
  <w:num w:numId="8">
    <w:abstractNumId w:val="6"/>
  </w:num>
  <w:num w:numId="9">
    <w:abstractNumId w:val="20"/>
  </w:num>
  <w:num w:numId="10">
    <w:abstractNumId w:val="13"/>
  </w:num>
  <w:num w:numId="11">
    <w:abstractNumId w:val="14"/>
  </w:num>
  <w:num w:numId="12">
    <w:abstractNumId w:val="0"/>
  </w:num>
  <w:num w:numId="13">
    <w:abstractNumId w:val="26"/>
  </w:num>
  <w:num w:numId="14">
    <w:abstractNumId w:val="27"/>
    <w:lvlOverride w:ilvl="0">
      <w:startOverride w:val="1"/>
    </w:lvlOverride>
  </w:num>
  <w:num w:numId="15">
    <w:abstractNumId w:val="4"/>
  </w:num>
  <w:num w:numId="16">
    <w:abstractNumId w:val="23"/>
  </w:num>
  <w:num w:numId="17">
    <w:abstractNumId w:val="10"/>
  </w:num>
  <w:num w:numId="18">
    <w:abstractNumId w:val="7"/>
  </w:num>
  <w:num w:numId="19">
    <w:abstractNumId w:val="5"/>
  </w:num>
  <w:num w:numId="20">
    <w:abstractNumId w:val="12"/>
  </w:num>
  <w:num w:numId="21">
    <w:abstractNumId w:val="18"/>
  </w:num>
  <w:num w:numId="22">
    <w:abstractNumId w:val="21"/>
  </w:num>
  <w:num w:numId="23">
    <w:abstractNumId w:val="1"/>
  </w:num>
  <w:num w:numId="24">
    <w:abstractNumId w:val="6"/>
  </w:num>
  <w:num w:numId="25">
    <w:abstractNumId w:val="24"/>
  </w:num>
  <w:num w:numId="26">
    <w:abstractNumId w:val="19"/>
  </w:num>
  <w:num w:numId="27">
    <w:abstractNumId w:val="16"/>
  </w:num>
  <w:num w:numId="28">
    <w:abstractNumId w:val="17"/>
  </w:num>
  <w:num w:numId="29">
    <w:abstractNumId w:val="6"/>
  </w:num>
  <w:num w:numId="30">
    <w:abstractNumId w:val="6"/>
  </w:num>
  <w:num w:numId="31">
    <w:abstractNumId w:val="9"/>
  </w:num>
  <w:num w:numId="32">
    <w:abstractNumId w:val="3"/>
  </w:num>
  <w:num w:numId="33">
    <w:abstractNumId w:val="6"/>
  </w:num>
  <w:num w:numId="34">
    <w:abstractNumId w:val="24"/>
  </w:num>
  <w:num w:numId="35">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oNotTrackFormatting/>
  <w:defaultTabStop w:val="720"/>
  <w:hyphenationZone w:val="425"/>
  <w:drawingGridHorizontalSpacing w:val="12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674"/>
    <w:rsid w:val="000005D3"/>
    <w:rsid w:val="00000A99"/>
    <w:rsid w:val="000026F6"/>
    <w:rsid w:val="000049D8"/>
    <w:rsid w:val="000248F1"/>
    <w:rsid w:val="0003697F"/>
    <w:rsid w:val="00037DF4"/>
    <w:rsid w:val="0004370D"/>
    <w:rsid w:val="0004700E"/>
    <w:rsid w:val="0005290D"/>
    <w:rsid w:val="00056CB5"/>
    <w:rsid w:val="000672A3"/>
    <w:rsid w:val="00070C13"/>
    <w:rsid w:val="0008191A"/>
    <w:rsid w:val="00081DE6"/>
    <w:rsid w:val="0008354B"/>
    <w:rsid w:val="00083A43"/>
    <w:rsid w:val="00084F33"/>
    <w:rsid w:val="00093641"/>
    <w:rsid w:val="000A77A7"/>
    <w:rsid w:val="000B1707"/>
    <w:rsid w:val="000B72AE"/>
    <w:rsid w:val="000C1B3E"/>
    <w:rsid w:val="000C54D1"/>
    <w:rsid w:val="000C5DD7"/>
    <w:rsid w:val="000D0AA9"/>
    <w:rsid w:val="000D7C0A"/>
    <w:rsid w:val="000E3D37"/>
    <w:rsid w:val="000F3286"/>
    <w:rsid w:val="000F43D8"/>
    <w:rsid w:val="000F5919"/>
    <w:rsid w:val="00110AE7"/>
    <w:rsid w:val="00112DCB"/>
    <w:rsid w:val="001277B3"/>
    <w:rsid w:val="00134D6C"/>
    <w:rsid w:val="001377C2"/>
    <w:rsid w:val="00140F15"/>
    <w:rsid w:val="001412DA"/>
    <w:rsid w:val="0016782E"/>
    <w:rsid w:val="0017725C"/>
    <w:rsid w:val="00177F17"/>
    <w:rsid w:val="00177F4D"/>
    <w:rsid w:val="00180DDA"/>
    <w:rsid w:val="00184EC4"/>
    <w:rsid w:val="001A3C73"/>
    <w:rsid w:val="001A49B2"/>
    <w:rsid w:val="001A586E"/>
    <w:rsid w:val="001B2A2D"/>
    <w:rsid w:val="001B41F2"/>
    <w:rsid w:val="001B5E1B"/>
    <w:rsid w:val="001B737D"/>
    <w:rsid w:val="001B7EA5"/>
    <w:rsid w:val="001C44A3"/>
    <w:rsid w:val="001C454B"/>
    <w:rsid w:val="001D2BE5"/>
    <w:rsid w:val="001D7971"/>
    <w:rsid w:val="001E0E15"/>
    <w:rsid w:val="001F528A"/>
    <w:rsid w:val="001F704E"/>
    <w:rsid w:val="00201722"/>
    <w:rsid w:val="0020744A"/>
    <w:rsid w:val="002125B0"/>
    <w:rsid w:val="00215F4B"/>
    <w:rsid w:val="002162EA"/>
    <w:rsid w:val="00225002"/>
    <w:rsid w:val="00225248"/>
    <w:rsid w:val="00240DAE"/>
    <w:rsid w:val="0024140C"/>
    <w:rsid w:val="00243228"/>
    <w:rsid w:val="00247174"/>
    <w:rsid w:val="00251483"/>
    <w:rsid w:val="002524AB"/>
    <w:rsid w:val="00255CAA"/>
    <w:rsid w:val="00264305"/>
    <w:rsid w:val="0026446F"/>
    <w:rsid w:val="00266EA6"/>
    <w:rsid w:val="002673BB"/>
    <w:rsid w:val="00277E6C"/>
    <w:rsid w:val="002A0346"/>
    <w:rsid w:val="002A4487"/>
    <w:rsid w:val="002A4524"/>
    <w:rsid w:val="002B49E9"/>
    <w:rsid w:val="002C0351"/>
    <w:rsid w:val="002C1170"/>
    <w:rsid w:val="002C3910"/>
    <w:rsid w:val="002C49B9"/>
    <w:rsid w:val="002C632E"/>
    <w:rsid w:val="002D1D54"/>
    <w:rsid w:val="002D2D66"/>
    <w:rsid w:val="002D3E8B"/>
    <w:rsid w:val="002D4575"/>
    <w:rsid w:val="002D5C0C"/>
    <w:rsid w:val="002D702E"/>
    <w:rsid w:val="002E03D1"/>
    <w:rsid w:val="002E4D7D"/>
    <w:rsid w:val="002E6B74"/>
    <w:rsid w:val="002E6FCA"/>
    <w:rsid w:val="00304435"/>
    <w:rsid w:val="0030520A"/>
    <w:rsid w:val="00314B20"/>
    <w:rsid w:val="003166FE"/>
    <w:rsid w:val="00324E05"/>
    <w:rsid w:val="0034014D"/>
    <w:rsid w:val="00342832"/>
    <w:rsid w:val="00342882"/>
    <w:rsid w:val="00344644"/>
    <w:rsid w:val="0035124E"/>
    <w:rsid w:val="00356CD0"/>
    <w:rsid w:val="00362CD9"/>
    <w:rsid w:val="00365FD5"/>
    <w:rsid w:val="00375552"/>
    <w:rsid w:val="003761CA"/>
    <w:rsid w:val="0037670B"/>
    <w:rsid w:val="00380AC4"/>
    <w:rsid w:val="00380DAF"/>
    <w:rsid w:val="00384C96"/>
    <w:rsid w:val="00387FBD"/>
    <w:rsid w:val="0039406F"/>
    <w:rsid w:val="003972CE"/>
    <w:rsid w:val="003A0E47"/>
    <w:rsid w:val="003A1F17"/>
    <w:rsid w:val="003B28F5"/>
    <w:rsid w:val="003B3763"/>
    <w:rsid w:val="003B3F5C"/>
    <w:rsid w:val="003B7B7D"/>
    <w:rsid w:val="003C54CB"/>
    <w:rsid w:val="003C69EF"/>
    <w:rsid w:val="003C7A2A"/>
    <w:rsid w:val="003D2DC1"/>
    <w:rsid w:val="003D69D0"/>
    <w:rsid w:val="003E28C2"/>
    <w:rsid w:val="003F2918"/>
    <w:rsid w:val="003F430E"/>
    <w:rsid w:val="003F69C5"/>
    <w:rsid w:val="004012E8"/>
    <w:rsid w:val="004021BD"/>
    <w:rsid w:val="00404400"/>
    <w:rsid w:val="00405236"/>
    <w:rsid w:val="0041088C"/>
    <w:rsid w:val="00412AD2"/>
    <w:rsid w:val="00415B6F"/>
    <w:rsid w:val="00420A38"/>
    <w:rsid w:val="00431A98"/>
    <w:rsid w:val="00431B19"/>
    <w:rsid w:val="0044268E"/>
    <w:rsid w:val="0044382E"/>
    <w:rsid w:val="00452193"/>
    <w:rsid w:val="0046556F"/>
    <w:rsid w:val="004661AD"/>
    <w:rsid w:val="00481B84"/>
    <w:rsid w:val="0048565F"/>
    <w:rsid w:val="00492C4C"/>
    <w:rsid w:val="004A4BF8"/>
    <w:rsid w:val="004A557A"/>
    <w:rsid w:val="004B46E8"/>
    <w:rsid w:val="004C1B72"/>
    <w:rsid w:val="004D1D85"/>
    <w:rsid w:val="004D3C3A"/>
    <w:rsid w:val="004E1C7D"/>
    <w:rsid w:val="004E1CD1"/>
    <w:rsid w:val="005042CD"/>
    <w:rsid w:val="005107EB"/>
    <w:rsid w:val="00511987"/>
    <w:rsid w:val="00521345"/>
    <w:rsid w:val="005235B2"/>
    <w:rsid w:val="00523AF9"/>
    <w:rsid w:val="005241CD"/>
    <w:rsid w:val="00526B11"/>
    <w:rsid w:val="00526DF0"/>
    <w:rsid w:val="00545CC4"/>
    <w:rsid w:val="00550D9D"/>
    <w:rsid w:val="00551FFF"/>
    <w:rsid w:val="005607A2"/>
    <w:rsid w:val="0057198B"/>
    <w:rsid w:val="00586672"/>
    <w:rsid w:val="00586B83"/>
    <w:rsid w:val="00590CFF"/>
    <w:rsid w:val="005969F2"/>
    <w:rsid w:val="00597FAE"/>
    <w:rsid w:val="005A186F"/>
    <w:rsid w:val="005A396A"/>
    <w:rsid w:val="005A65F2"/>
    <w:rsid w:val="005B32A3"/>
    <w:rsid w:val="005C0D44"/>
    <w:rsid w:val="005C1831"/>
    <w:rsid w:val="005C566C"/>
    <w:rsid w:val="005C7D27"/>
    <w:rsid w:val="005C7E69"/>
    <w:rsid w:val="005D5D55"/>
    <w:rsid w:val="005E262D"/>
    <w:rsid w:val="005E3BA6"/>
    <w:rsid w:val="005F03AC"/>
    <w:rsid w:val="005F0A14"/>
    <w:rsid w:val="005F116E"/>
    <w:rsid w:val="005F1E17"/>
    <w:rsid w:val="005F23D3"/>
    <w:rsid w:val="005F3988"/>
    <w:rsid w:val="005F7E20"/>
    <w:rsid w:val="00601455"/>
    <w:rsid w:val="00605E43"/>
    <w:rsid w:val="006100F5"/>
    <w:rsid w:val="0061356A"/>
    <w:rsid w:val="006153BB"/>
    <w:rsid w:val="006300C0"/>
    <w:rsid w:val="0063395D"/>
    <w:rsid w:val="00647EB9"/>
    <w:rsid w:val="00656544"/>
    <w:rsid w:val="00656ABA"/>
    <w:rsid w:val="006652C3"/>
    <w:rsid w:val="00665F41"/>
    <w:rsid w:val="00691FD0"/>
    <w:rsid w:val="00692148"/>
    <w:rsid w:val="006A1A1E"/>
    <w:rsid w:val="006A7680"/>
    <w:rsid w:val="006C226B"/>
    <w:rsid w:val="006C5948"/>
    <w:rsid w:val="006C6E0B"/>
    <w:rsid w:val="006C71DA"/>
    <w:rsid w:val="006D7A9F"/>
    <w:rsid w:val="006E2985"/>
    <w:rsid w:val="006F0C48"/>
    <w:rsid w:val="006F0D7F"/>
    <w:rsid w:val="006F2A74"/>
    <w:rsid w:val="006F2B88"/>
    <w:rsid w:val="006F6565"/>
    <w:rsid w:val="00701938"/>
    <w:rsid w:val="00704C6B"/>
    <w:rsid w:val="007118F5"/>
    <w:rsid w:val="00711FA6"/>
    <w:rsid w:val="00712AA4"/>
    <w:rsid w:val="007146C4"/>
    <w:rsid w:val="00715803"/>
    <w:rsid w:val="00720AD8"/>
    <w:rsid w:val="00721533"/>
    <w:rsid w:val="00721AA1"/>
    <w:rsid w:val="00724B67"/>
    <w:rsid w:val="00725A4A"/>
    <w:rsid w:val="007271EA"/>
    <w:rsid w:val="007348D9"/>
    <w:rsid w:val="0075418A"/>
    <w:rsid w:val="007547F8"/>
    <w:rsid w:val="00761FE5"/>
    <w:rsid w:val="00762E74"/>
    <w:rsid w:val="007632C5"/>
    <w:rsid w:val="007635E7"/>
    <w:rsid w:val="00765622"/>
    <w:rsid w:val="00770B6C"/>
    <w:rsid w:val="00783FEA"/>
    <w:rsid w:val="007918B6"/>
    <w:rsid w:val="007937C5"/>
    <w:rsid w:val="00795860"/>
    <w:rsid w:val="00797FA8"/>
    <w:rsid w:val="007A395D"/>
    <w:rsid w:val="007B2C4F"/>
    <w:rsid w:val="007B3E5A"/>
    <w:rsid w:val="007C2740"/>
    <w:rsid w:val="007C2BF5"/>
    <w:rsid w:val="007C346C"/>
    <w:rsid w:val="007E1E85"/>
    <w:rsid w:val="007E2595"/>
    <w:rsid w:val="007F2B01"/>
    <w:rsid w:val="0080294B"/>
    <w:rsid w:val="0080332A"/>
    <w:rsid w:val="0082480E"/>
    <w:rsid w:val="008342DD"/>
    <w:rsid w:val="00836698"/>
    <w:rsid w:val="00837134"/>
    <w:rsid w:val="00850293"/>
    <w:rsid w:val="00851373"/>
    <w:rsid w:val="00851BA6"/>
    <w:rsid w:val="0085654D"/>
    <w:rsid w:val="00861160"/>
    <w:rsid w:val="00866227"/>
    <w:rsid w:val="0086654F"/>
    <w:rsid w:val="008709A6"/>
    <w:rsid w:val="008800CA"/>
    <w:rsid w:val="008808B8"/>
    <w:rsid w:val="0088373E"/>
    <w:rsid w:val="008959F6"/>
    <w:rsid w:val="008A356F"/>
    <w:rsid w:val="008A4653"/>
    <w:rsid w:val="008A4717"/>
    <w:rsid w:val="008A50CC"/>
    <w:rsid w:val="008A6A26"/>
    <w:rsid w:val="008A6F67"/>
    <w:rsid w:val="008C7965"/>
    <w:rsid w:val="008D1694"/>
    <w:rsid w:val="008D5374"/>
    <w:rsid w:val="008D7490"/>
    <w:rsid w:val="008D79CB"/>
    <w:rsid w:val="008E461F"/>
    <w:rsid w:val="008E5F01"/>
    <w:rsid w:val="008F07BC"/>
    <w:rsid w:val="008F3C64"/>
    <w:rsid w:val="008F59CE"/>
    <w:rsid w:val="008F7097"/>
    <w:rsid w:val="00903065"/>
    <w:rsid w:val="00915A71"/>
    <w:rsid w:val="009260AA"/>
    <w:rsid w:val="0092692B"/>
    <w:rsid w:val="00926AF9"/>
    <w:rsid w:val="00942121"/>
    <w:rsid w:val="00943E9C"/>
    <w:rsid w:val="00953F4D"/>
    <w:rsid w:val="00960BB8"/>
    <w:rsid w:val="00964F5C"/>
    <w:rsid w:val="00965950"/>
    <w:rsid w:val="0098107F"/>
    <w:rsid w:val="00982061"/>
    <w:rsid w:val="009831C0"/>
    <w:rsid w:val="00986454"/>
    <w:rsid w:val="0099161D"/>
    <w:rsid w:val="0099663A"/>
    <w:rsid w:val="009A0A2C"/>
    <w:rsid w:val="009A682D"/>
    <w:rsid w:val="009B48CD"/>
    <w:rsid w:val="009B59B0"/>
    <w:rsid w:val="009C0373"/>
    <w:rsid w:val="009C5055"/>
    <w:rsid w:val="009D11EB"/>
    <w:rsid w:val="009E4A34"/>
    <w:rsid w:val="009E5738"/>
    <w:rsid w:val="009E7614"/>
    <w:rsid w:val="009F010E"/>
    <w:rsid w:val="009F3B2B"/>
    <w:rsid w:val="00A0389B"/>
    <w:rsid w:val="00A11BA6"/>
    <w:rsid w:val="00A37C89"/>
    <w:rsid w:val="00A446C9"/>
    <w:rsid w:val="00A50A3B"/>
    <w:rsid w:val="00A52E7F"/>
    <w:rsid w:val="00A56119"/>
    <w:rsid w:val="00A635D6"/>
    <w:rsid w:val="00A71675"/>
    <w:rsid w:val="00A7182F"/>
    <w:rsid w:val="00A75F4F"/>
    <w:rsid w:val="00A76B64"/>
    <w:rsid w:val="00A806B6"/>
    <w:rsid w:val="00A80E57"/>
    <w:rsid w:val="00A8253D"/>
    <w:rsid w:val="00A8553A"/>
    <w:rsid w:val="00A93AED"/>
    <w:rsid w:val="00A96CD2"/>
    <w:rsid w:val="00A97EDC"/>
    <w:rsid w:val="00AB1FFC"/>
    <w:rsid w:val="00AD3BE4"/>
    <w:rsid w:val="00AD7D62"/>
    <w:rsid w:val="00AD7E01"/>
    <w:rsid w:val="00AE1319"/>
    <w:rsid w:val="00AE195A"/>
    <w:rsid w:val="00AE34BB"/>
    <w:rsid w:val="00AE3A9A"/>
    <w:rsid w:val="00AE5137"/>
    <w:rsid w:val="00AF2A93"/>
    <w:rsid w:val="00B0645E"/>
    <w:rsid w:val="00B15BFA"/>
    <w:rsid w:val="00B226F2"/>
    <w:rsid w:val="00B249EB"/>
    <w:rsid w:val="00B252EF"/>
    <w:rsid w:val="00B27240"/>
    <w:rsid w:val="00B274DF"/>
    <w:rsid w:val="00B307E8"/>
    <w:rsid w:val="00B360BE"/>
    <w:rsid w:val="00B547F6"/>
    <w:rsid w:val="00B55ADC"/>
    <w:rsid w:val="00B56BDF"/>
    <w:rsid w:val="00B5715F"/>
    <w:rsid w:val="00B619D8"/>
    <w:rsid w:val="00B65812"/>
    <w:rsid w:val="00B714C9"/>
    <w:rsid w:val="00B7782D"/>
    <w:rsid w:val="00B77A02"/>
    <w:rsid w:val="00B808F5"/>
    <w:rsid w:val="00B85275"/>
    <w:rsid w:val="00B85CD6"/>
    <w:rsid w:val="00B90A27"/>
    <w:rsid w:val="00B9554D"/>
    <w:rsid w:val="00B960B0"/>
    <w:rsid w:val="00BA191A"/>
    <w:rsid w:val="00BA25D5"/>
    <w:rsid w:val="00BB2B9F"/>
    <w:rsid w:val="00BB3F18"/>
    <w:rsid w:val="00BB50DB"/>
    <w:rsid w:val="00BB7D9E"/>
    <w:rsid w:val="00BC2334"/>
    <w:rsid w:val="00BC3E04"/>
    <w:rsid w:val="00BD1739"/>
    <w:rsid w:val="00BD3CB8"/>
    <w:rsid w:val="00BD4E6F"/>
    <w:rsid w:val="00BD67C3"/>
    <w:rsid w:val="00BE73DD"/>
    <w:rsid w:val="00BF0A92"/>
    <w:rsid w:val="00BF32F0"/>
    <w:rsid w:val="00BF4DCE"/>
    <w:rsid w:val="00BF5438"/>
    <w:rsid w:val="00BF5A51"/>
    <w:rsid w:val="00C05CE5"/>
    <w:rsid w:val="00C371E6"/>
    <w:rsid w:val="00C6171E"/>
    <w:rsid w:val="00C639DD"/>
    <w:rsid w:val="00C63AA0"/>
    <w:rsid w:val="00C70270"/>
    <w:rsid w:val="00C9376C"/>
    <w:rsid w:val="00CA35CB"/>
    <w:rsid w:val="00CA6F2C"/>
    <w:rsid w:val="00CB4FE2"/>
    <w:rsid w:val="00CB6682"/>
    <w:rsid w:val="00CC0586"/>
    <w:rsid w:val="00CC76AA"/>
    <w:rsid w:val="00CE19A4"/>
    <w:rsid w:val="00CE75F1"/>
    <w:rsid w:val="00CF1751"/>
    <w:rsid w:val="00CF1871"/>
    <w:rsid w:val="00CF75EC"/>
    <w:rsid w:val="00D019CE"/>
    <w:rsid w:val="00D1133E"/>
    <w:rsid w:val="00D17A34"/>
    <w:rsid w:val="00D26628"/>
    <w:rsid w:val="00D332B3"/>
    <w:rsid w:val="00D332FB"/>
    <w:rsid w:val="00D3414A"/>
    <w:rsid w:val="00D355E6"/>
    <w:rsid w:val="00D55207"/>
    <w:rsid w:val="00D659EA"/>
    <w:rsid w:val="00D72A0A"/>
    <w:rsid w:val="00D74828"/>
    <w:rsid w:val="00D776F1"/>
    <w:rsid w:val="00D81801"/>
    <w:rsid w:val="00D85024"/>
    <w:rsid w:val="00D927A3"/>
    <w:rsid w:val="00D92B45"/>
    <w:rsid w:val="00D95962"/>
    <w:rsid w:val="00D96F26"/>
    <w:rsid w:val="00DA30F7"/>
    <w:rsid w:val="00DA4016"/>
    <w:rsid w:val="00DB7467"/>
    <w:rsid w:val="00DC389B"/>
    <w:rsid w:val="00DD767B"/>
    <w:rsid w:val="00DE2FEE"/>
    <w:rsid w:val="00E00BE9"/>
    <w:rsid w:val="00E01A73"/>
    <w:rsid w:val="00E044B5"/>
    <w:rsid w:val="00E07519"/>
    <w:rsid w:val="00E1062A"/>
    <w:rsid w:val="00E11314"/>
    <w:rsid w:val="00E15EEB"/>
    <w:rsid w:val="00E22A11"/>
    <w:rsid w:val="00E31E5C"/>
    <w:rsid w:val="00E3300D"/>
    <w:rsid w:val="00E37B74"/>
    <w:rsid w:val="00E4191B"/>
    <w:rsid w:val="00E44DD2"/>
    <w:rsid w:val="00E45121"/>
    <w:rsid w:val="00E451D4"/>
    <w:rsid w:val="00E52981"/>
    <w:rsid w:val="00E558C3"/>
    <w:rsid w:val="00E55927"/>
    <w:rsid w:val="00E806B6"/>
    <w:rsid w:val="00E80720"/>
    <w:rsid w:val="00E8153B"/>
    <w:rsid w:val="00E833E9"/>
    <w:rsid w:val="00E912A6"/>
    <w:rsid w:val="00E923A8"/>
    <w:rsid w:val="00EA17E6"/>
    <w:rsid w:val="00EA3754"/>
    <w:rsid w:val="00EA3EA7"/>
    <w:rsid w:val="00EA4844"/>
    <w:rsid w:val="00EA4CBB"/>
    <w:rsid w:val="00EA4D9C"/>
    <w:rsid w:val="00EA5A97"/>
    <w:rsid w:val="00EB022A"/>
    <w:rsid w:val="00EB75EE"/>
    <w:rsid w:val="00EC0EA3"/>
    <w:rsid w:val="00EC293C"/>
    <w:rsid w:val="00EC710E"/>
    <w:rsid w:val="00ED29CA"/>
    <w:rsid w:val="00ED6DEB"/>
    <w:rsid w:val="00ED711C"/>
    <w:rsid w:val="00EE2101"/>
    <w:rsid w:val="00EE38DC"/>
    <w:rsid w:val="00EE4C1D"/>
    <w:rsid w:val="00EF3685"/>
    <w:rsid w:val="00F01601"/>
    <w:rsid w:val="00F04350"/>
    <w:rsid w:val="00F133DB"/>
    <w:rsid w:val="00F1433C"/>
    <w:rsid w:val="00F159EB"/>
    <w:rsid w:val="00F211C0"/>
    <w:rsid w:val="00F25BF4"/>
    <w:rsid w:val="00F267DB"/>
    <w:rsid w:val="00F27214"/>
    <w:rsid w:val="00F3289A"/>
    <w:rsid w:val="00F42549"/>
    <w:rsid w:val="00F467C1"/>
    <w:rsid w:val="00F46A86"/>
    <w:rsid w:val="00F46F6F"/>
    <w:rsid w:val="00F5210F"/>
    <w:rsid w:val="00F53A54"/>
    <w:rsid w:val="00F60608"/>
    <w:rsid w:val="00F62217"/>
    <w:rsid w:val="00F71838"/>
    <w:rsid w:val="00F767FC"/>
    <w:rsid w:val="00F84614"/>
    <w:rsid w:val="00FA28DC"/>
    <w:rsid w:val="00FB17A9"/>
    <w:rsid w:val="00FB527C"/>
    <w:rsid w:val="00FB6F75"/>
    <w:rsid w:val="00FB78A9"/>
    <w:rsid w:val="00FC0EB3"/>
    <w:rsid w:val="00FC6210"/>
    <w:rsid w:val="00FC7D4D"/>
    <w:rsid w:val="00FD2576"/>
    <w:rsid w:val="00FD2B74"/>
    <w:rsid w:val="00FD3BB7"/>
    <w:rsid w:val="00FD675E"/>
    <w:rsid w:val="00FE0FFF"/>
    <w:rsid w:val="00FE19E2"/>
    <w:rsid w:val="00FE5674"/>
    <w:rsid w:val="00FE7936"/>
    <w:rsid w:val="00FE7B9D"/>
    <w:rsid w:val="00FF3D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5:docId w15:val="{91F39935-A957-42A3-AA24-C2A029402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aliases w:val="Header 1,PA Chapter,h1,1,P1=1,First level,T1,Level 1,H1,Level a,mainchap,aa,Kapitel,Heading 1n,Heading 1n1,H11,h11,aa1,mainchap1,Kapitel1,Section Head,l1,Section Head1,l11,Appendix 11,h12,Section Head2,l12,Appendix 12,heading 1,Überschrift1,I1"/>
    <w:basedOn w:val="Normal"/>
    <w:next w:val="BodyText"/>
    <w:link w:val="Heading1Char"/>
    <w:qFormat/>
    <w:rsid w:val="00605E43"/>
    <w:pPr>
      <w:keepNext/>
      <w:spacing w:before="240" w:after="240"/>
      <w:outlineLvl w:val="0"/>
    </w:pPr>
    <w:rPr>
      <w:rFonts w:ascii="Calibri" w:hAnsi="Calibri"/>
      <w:b/>
      <w:caps/>
      <w:color w:val="0070C0"/>
      <w:kern w:val="28"/>
      <w:sz w:val="24"/>
      <w:lang w:eastAsia="de-DE"/>
    </w:rPr>
  </w:style>
  <w:style w:type="paragraph" w:styleId="Heading2">
    <w:name w:val="heading 2"/>
    <w:aliases w:val="Header 2,PA Major Section,headline,h,h2,H2dex,H21,Second level,T2,Normal Heading 2,Normal Heading 1,l2,list + change bar,X,H2,sub-sect,21,sub-sect1,heading 2,22,sub-sect2,211,sub-sect11,heading 21,23,sub-sect3,212,sub-sect12,heading 22,24,213"/>
    <w:basedOn w:val="Normal"/>
    <w:next w:val="BodyText"/>
    <w:link w:val="Heading2Char"/>
    <w:qFormat/>
    <w:rsid w:val="00605E43"/>
    <w:pPr>
      <w:spacing w:before="120" w:after="120"/>
      <w:outlineLvl w:val="1"/>
    </w:pPr>
    <w:rPr>
      <w:rFonts w:ascii="Calibri" w:hAnsi="Calibri"/>
      <w:b/>
      <w:color w:val="0070C0"/>
      <w:sz w:val="24"/>
      <w:szCs w:val="24"/>
    </w:rPr>
  </w:style>
  <w:style w:type="paragraph" w:styleId="Heading3">
    <w:name w:val="heading 3"/>
    <w:aliases w:val="Header 3,PA Minor Section,h3,heading 3,b,2,3 bullet,SECOND,B1,b1,Second,bullet pt,3,H3dex,Third level,T3,l3,Guide 3,Req 3,sub-sub,31,sub-sub1,32,sub-sub2,33,sub-sub3,34,sub-sub4,311,sub-sub11,heading 31,35,sub-sub5,312,sub-sub12,heading 32,321"/>
    <w:basedOn w:val="Normal"/>
    <w:next w:val="BodyText"/>
    <w:link w:val="Heading3Char"/>
    <w:qFormat/>
    <w:rsid w:val="00D332B3"/>
    <w:pPr>
      <w:keepNext/>
      <w:spacing w:before="120" w:after="120"/>
      <w:outlineLvl w:val="2"/>
    </w:pPr>
    <w:rPr>
      <w:szCs w:val="20"/>
      <w:lang w:eastAsia="de-DE"/>
    </w:rPr>
  </w:style>
  <w:style w:type="paragraph" w:styleId="Heading4">
    <w:name w:val="heading 4"/>
    <w:aliases w:val="PA Micro Section,4,H4,Fourth level,T4,EIVIS Title 4,h4,OT Hdg 4,OT Hdg 41,3559Heading 4,s4,Unterunterabschnitt,4m,Heading 4n,s41,H41,T41,Unterunterabschnitt1,4m1,Bloc,Titre 4 a),l4,mh1l,Module heading 1 large (18 points),l41,mh1l1"/>
    <w:basedOn w:val="Normal"/>
    <w:next w:val="BodyTextIndent"/>
    <w:link w:val="Heading4Char"/>
    <w:qFormat/>
    <w:rsid w:val="00D332B3"/>
    <w:pPr>
      <w:keepNext/>
      <w:spacing w:before="120" w:after="120"/>
      <w:outlineLvl w:val="3"/>
    </w:pPr>
    <w:rPr>
      <w:szCs w:val="20"/>
      <w:lang w:val="en-US" w:eastAsia="de-DE"/>
    </w:rPr>
  </w:style>
  <w:style w:type="paragraph" w:styleId="Heading5">
    <w:name w:val="heading 5"/>
    <w:aliases w:val="PA Pico Section,5,Title 5,annexe,annexe ntc,h5,OT Hdg 5,OT Hdg 51,mh2,Module heading 2,mh21,Module heading 21,mh22,Module heading 22,Überschrift 51,H51,h51,Überschrift 511,H52,h52,Überschrift 512,H53,h53,Überschrift 513,H54,h54,H55,h55,H511,H5"/>
    <w:basedOn w:val="Normal"/>
    <w:next w:val="Normal"/>
    <w:link w:val="Heading5Char"/>
    <w:qFormat/>
    <w:rsid w:val="00D332B3"/>
    <w:pPr>
      <w:spacing w:before="240" w:after="120"/>
      <w:outlineLvl w:val="4"/>
    </w:pPr>
    <w:rPr>
      <w:rFonts w:eastAsia="Times New Roman" w:cs="Times New Roman"/>
      <w:szCs w:val="20"/>
      <w:lang w:val="de-DE" w:eastAsia="de-DE"/>
    </w:rPr>
  </w:style>
  <w:style w:type="paragraph" w:styleId="Heading6">
    <w:name w:val="heading 6"/>
    <w:aliases w:val="PA Appendix,Title 6,Titre 5 ntc,H6,Überschrift 61,Überschrift 611,Überschrift 612,Überschrift 613,Überschrift 614,Überschrift 615,Überschrift 6111,Überschrift 6121,Überschrift 6131,Überschrift 6141,Überschrift 616,Überschrift 6112,h6,H61,cnp"/>
    <w:basedOn w:val="Normal"/>
    <w:next w:val="BodyTextIndent2"/>
    <w:link w:val="Heading6Char"/>
    <w:qFormat/>
    <w:rsid w:val="00D332B3"/>
    <w:pPr>
      <w:tabs>
        <w:tab w:val="left" w:pos="1418"/>
      </w:tabs>
      <w:spacing w:before="120" w:after="120"/>
      <w:outlineLvl w:val="5"/>
    </w:pPr>
    <w:rPr>
      <w:szCs w:val="20"/>
      <w:lang w:val="de-DE" w:eastAsia="de-DE"/>
    </w:rPr>
  </w:style>
  <w:style w:type="paragraph" w:styleId="Heading7">
    <w:name w:val="heading 7"/>
    <w:aliases w:val="PA Appendix Major,Title 7,App Heading1,h7,Überschrift 71,Überschrift 711,h71,Überschrift 712,Überschrift 7111,h72,Überschrift 713,Überschrift 7112,h73,Überschrift 714,Überschrift 7113,h74,Überschrift 715,Überschrift 7114,h75,7"/>
    <w:basedOn w:val="Normal"/>
    <w:next w:val="BodyTextIndent2"/>
    <w:link w:val="Heading7Char"/>
    <w:qFormat/>
    <w:rsid w:val="00D332B3"/>
    <w:pPr>
      <w:tabs>
        <w:tab w:val="left" w:pos="1701"/>
      </w:tabs>
      <w:spacing w:before="120" w:after="120"/>
      <w:outlineLvl w:val="6"/>
    </w:pPr>
    <w:rPr>
      <w:szCs w:val="20"/>
      <w:lang w:val="de-DE" w:eastAsia="de-DE"/>
    </w:rPr>
  </w:style>
  <w:style w:type="paragraph" w:styleId="Heading8">
    <w:name w:val="heading 8"/>
    <w:aliases w:val="PA Appendix Minor,(table no.),(requirement),Figure Title,Figure Title1,Appendix Heading 11"/>
    <w:basedOn w:val="Normal"/>
    <w:next w:val="BodyTextIndent2"/>
    <w:link w:val="Heading8Char"/>
    <w:qFormat/>
    <w:rsid w:val="00D332B3"/>
    <w:pPr>
      <w:tabs>
        <w:tab w:val="left" w:pos="1985"/>
      </w:tabs>
      <w:spacing w:before="120" w:after="120"/>
      <w:outlineLvl w:val="7"/>
    </w:pPr>
    <w:rPr>
      <w:szCs w:val="20"/>
      <w:lang w:val="de-DE" w:eastAsia="de-DE"/>
    </w:rPr>
  </w:style>
  <w:style w:type="paragraph" w:styleId="Heading9">
    <w:name w:val="heading 9"/>
    <w:aliases w:val="(figure no.)"/>
    <w:basedOn w:val="Normal"/>
    <w:next w:val="BodyTextIndent2"/>
    <w:link w:val="Heading9Char"/>
    <w:qFormat/>
    <w:rsid w:val="00D332B3"/>
    <w:p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PA Chapter Char,h1 Char,1 Char,P1=1 Char,First level Char,T1 Char,Level 1 Char,H1 Char,Level a Char,mainchap Char,aa Char,Kapitel Char,Heading 1n Char,Heading 1n1 Char,H11 Char,h11 Char,aa1 Char,mainchap1 Char,Kapitel1 Char"/>
    <w:link w:val="Heading1"/>
    <w:rsid w:val="00605E43"/>
    <w:rPr>
      <w:rFonts w:cs="Calibri"/>
      <w:b/>
      <w:caps/>
      <w:color w:val="0070C0"/>
      <w:kern w:val="28"/>
      <w:sz w:val="24"/>
      <w:szCs w:val="22"/>
      <w:lang w:eastAsia="de-DE"/>
    </w:rPr>
  </w:style>
  <w:style w:type="character" w:customStyle="1" w:styleId="Heading2Char">
    <w:name w:val="Heading 2 Char"/>
    <w:aliases w:val="Header 2 Char,PA Major Section Char,headline Char,h Char,h2 Char,H2dex Char,H21 Char,Second level Char,T2 Char,Normal Heading 2 Char,Normal Heading 1 Char,l2 Char,list + change bar Char,X Char,H2 Char,sub-sect Char,21 Char,sub-sect1 Char"/>
    <w:link w:val="Heading2"/>
    <w:rsid w:val="00605E43"/>
    <w:rPr>
      <w:rFonts w:cs="Calibri"/>
      <w:b/>
      <w:color w:val="0070C0"/>
      <w:sz w:val="24"/>
      <w:szCs w:val="24"/>
    </w:rPr>
  </w:style>
  <w:style w:type="paragraph" w:customStyle="1" w:styleId="Annex">
    <w:name w:val="Annex"/>
    <w:basedOn w:val="Heading1"/>
    <w:next w:val="Normal"/>
    <w:link w:val="AnnexChar"/>
    <w:qFormat/>
    <w:rsid w:val="00056CB5"/>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6100F5"/>
    <w:pPr>
      <w:numPr>
        <w:numId w:val="17"/>
      </w:numPr>
      <w:spacing w:before="120" w:after="120"/>
      <w:outlineLvl w:val="1"/>
    </w:pPr>
    <w:rPr>
      <w:rFonts w:ascii="Calibri" w:hAnsi="Calibri" w:cs="Arial"/>
      <w:b/>
      <w:caps/>
      <w:color w:val="4F81BD" w:themeColor="accent1"/>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E01A73"/>
    <w:pPr>
      <w:numPr>
        <w:ilvl w:val="2"/>
        <w:numId w:val="3"/>
      </w:numPr>
      <w:spacing w:before="120" w:after="120"/>
    </w:pPr>
    <w:rPr>
      <w:rFonts w:asciiTheme="minorHAnsi" w:hAnsiTheme="minorHAnsi" w:cs="Arial"/>
      <w:color w:val="4F81BD" w:themeColor="accent1"/>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6F2B88"/>
    <w:pPr>
      <w:spacing w:after="120"/>
      <w:jc w:val="both"/>
    </w:pPr>
    <w:rPr>
      <w:rFonts w:asciiTheme="minorHAnsi" w:hAnsiTheme="minorHAnsi"/>
    </w:rPr>
  </w:style>
  <w:style w:type="character" w:customStyle="1" w:styleId="BodyTextChar">
    <w:name w:val="Body Text Char"/>
    <w:link w:val="BodyText"/>
    <w:rsid w:val="006F2B88"/>
    <w:rPr>
      <w:rFonts w:asciiTheme="minorHAnsi" w:hAnsiTheme="minorHAnsi" w:cs="Calibri"/>
      <w:sz w:val="22"/>
      <w:szCs w:val="22"/>
    </w:rPr>
  </w:style>
  <w:style w:type="paragraph" w:customStyle="1" w:styleId="Bullet1">
    <w:name w:val="Bullet 1"/>
    <w:basedOn w:val="Normal"/>
    <w:qFormat/>
    <w:rsid w:val="00056CB5"/>
    <w:pPr>
      <w:tabs>
        <w:tab w:val="left" w:pos="1134"/>
      </w:tabs>
      <w:spacing w:after="120"/>
      <w:jc w:val="both"/>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tabs>
        <w:tab w:val="left" w:pos="1701"/>
      </w:tabs>
      <w:spacing w:after="120"/>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1"/>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7"/>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aliases w:val="Header 3 Char,PA Minor Section Char,h3 Char,heading 3 Char,b Char,2 Char,3 bullet Char,SECOND Char,B1 Char,b1 Char,Second Char,bullet pt Char,3 Char,H3dex Char,Third level Char,T3 Char,l3 Char,Guide 3 Char,Req 3 Char,sub-sub Char,31 Char"/>
    <w:link w:val="Heading3"/>
    <w:rsid w:val="00E00BE9"/>
    <w:rPr>
      <w:rFonts w:ascii="Arial" w:hAnsi="Arial" w:cs="Calibri"/>
      <w:sz w:val="22"/>
      <w:lang w:eastAsia="de-DE"/>
    </w:rPr>
  </w:style>
  <w:style w:type="character" w:customStyle="1" w:styleId="Heading4Char">
    <w:name w:val="Heading 4 Char"/>
    <w:aliases w:val="PA Micro Section Char,4 Char,H4 Char,Fourth level Char,T4 Char,EIVIS Title 4 Char,h4 Char,OT Hdg 4 Char,OT Hdg 41 Char,3559Heading 4 Char,s4 Char,Unterunterabschnitt Char,4m Char,Heading 4n Char,s41 Char,H41 Char,T41 Char,4m1 Char,l4 Char"/>
    <w:link w:val="Heading4"/>
    <w:rsid w:val="00E00BE9"/>
    <w:rPr>
      <w:rFonts w:ascii="Arial" w:hAnsi="Arial" w:cs="Calibri"/>
      <w:sz w:val="22"/>
      <w:lang w:val="en-US" w:eastAsia="de-DE"/>
    </w:rPr>
  </w:style>
  <w:style w:type="character" w:customStyle="1" w:styleId="Heading5Char">
    <w:name w:val="Heading 5 Char"/>
    <w:aliases w:val="PA Pico Section Char,5 Char,Title 5 Char,annexe Char,annexe ntc Char,h5 Char,OT Hdg 5 Char,OT Hdg 51 Char,mh2 Char,Module heading 2 Char,mh21 Char,Module heading 21 Char,mh22 Char,Module heading 22 Char,Überschrift 51 Char,H51 Char"/>
    <w:link w:val="Heading5"/>
    <w:rsid w:val="00D332B3"/>
    <w:rPr>
      <w:rFonts w:ascii="Arial" w:eastAsia="Times New Roman" w:hAnsi="Arial"/>
      <w:sz w:val="22"/>
      <w:lang w:val="de-DE" w:eastAsia="de-DE"/>
    </w:rPr>
  </w:style>
  <w:style w:type="character" w:customStyle="1" w:styleId="Heading6Char">
    <w:name w:val="Heading 6 Char"/>
    <w:aliases w:val="PA Appendix Char,Title 6 Char,Titre 5 ntc Char,H6 Char,Überschrift 61 Char,Überschrift 611 Char,Überschrift 612 Char,Überschrift 613 Char,Überschrift 614 Char,Überschrift 615 Char,Überschrift 6111 Char,Überschrift 6121 Char,h6 Char"/>
    <w:link w:val="Heading6"/>
    <w:rsid w:val="00E00BE9"/>
    <w:rPr>
      <w:rFonts w:ascii="Arial" w:hAnsi="Arial" w:cs="Calibri"/>
      <w:sz w:val="22"/>
      <w:lang w:val="de-DE" w:eastAsia="de-DE"/>
    </w:rPr>
  </w:style>
  <w:style w:type="character" w:customStyle="1" w:styleId="Heading7Char">
    <w:name w:val="Heading 7 Char"/>
    <w:aliases w:val="PA Appendix Major Char,Title 7 Char,App Heading1 Char,h7 Char,Überschrift 71 Char,Überschrift 711 Char,h71 Char,Überschrift 712 Char,Überschrift 7111 Char,h72 Char,Überschrift 713 Char,Überschrift 7112 Char,h73 Char,Überschrift 714 Char"/>
    <w:link w:val="Heading7"/>
    <w:rsid w:val="00E00BE9"/>
    <w:rPr>
      <w:rFonts w:ascii="Arial" w:hAnsi="Arial" w:cs="Calibri"/>
      <w:sz w:val="22"/>
      <w:lang w:val="de-DE" w:eastAsia="de-DE"/>
    </w:rPr>
  </w:style>
  <w:style w:type="character" w:customStyle="1" w:styleId="Heading8Char">
    <w:name w:val="Heading 8 Char"/>
    <w:aliases w:val="PA Appendix Minor Char,(table no.) Char,(requirement) Char,Figure Title Char,Figure Title1 Char,Appendix Heading 11 Char"/>
    <w:link w:val="Heading8"/>
    <w:rsid w:val="00E00BE9"/>
    <w:rPr>
      <w:rFonts w:ascii="Arial" w:hAnsi="Arial" w:cs="Calibri"/>
      <w:sz w:val="22"/>
      <w:lang w:val="de-DE" w:eastAsia="de-DE"/>
    </w:rPr>
  </w:style>
  <w:style w:type="character" w:customStyle="1" w:styleId="Heading9Char">
    <w:name w:val="Heading 9 Char"/>
    <w:aliases w:val="(figure no.)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spacing w:after="120"/>
      <w:jc w:val="both"/>
    </w:pPr>
    <w:rPr>
      <w:rFonts w:eastAsia="MS Mincho"/>
      <w:lang w:eastAsia="ja-JP"/>
    </w:rPr>
  </w:style>
  <w:style w:type="paragraph" w:customStyle="1" w:styleId="List1indent2">
    <w:name w:val="List 1 indent 2"/>
    <w:basedOn w:val="Normal"/>
    <w:rsid w:val="00765622"/>
    <w:pPr>
      <w:widowControl w:val="0"/>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rsid w:val="008D1694"/>
    <w:rPr>
      <w:rFonts w:ascii="Arial" w:hAnsi="Arial"/>
      <w:sz w:val="16"/>
    </w:rPr>
  </w:style>
  <w:style w:type="paragraph" w:styleId="FootnoteText">
    <w:name w:val="footnote text"/>
    <w:basedOn w:val="Normal"/>
    <w:link w:val="FootnoteTextChar"/>
    <w:rsid w:val="00243228"/>
    <w:rPr>
      <w:sz w:val="20"/>
      <w:szCs w:val="20"/>
    </w:rPr>
  </w:style>
  <w:style w:type="character" w:customStyle="1" w:styleId="FootnoteTextChar">
    <w:name w:val="Footnote Text Char"/>
    <w:link w:val="FootnoteText"/>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8"/>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0"/>
      </w:numPr>
      <w:tabs>
        <w:tab w:val="left" w:pos="142"/>
      </w:tabs>
      <w:spacing w:after="120"/>
      <w:jc w:val="right"/>
    </w:pPr>
    <w:rPr>
      <w:rFonts w:eastAsia="Times New Roman" w:cs="Times New Roman"/>
      <w:szCs w:val="24"/>
      <w:lang w:eastAsia="en-US"/>
    </w:rPr>
  </w:style>
  <w:style w:type="table" w:styleId="TableGrid">
    <w:name w:val="Table Grid"/>
    <w:basedOn w:val="TableNormal"/>
    <w:rsid w:val="00783F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ppendix">
    <w:name w:val="Appendix"/>
    <w:basedOn w:val="Normal"/>
    <w:next w:val="Normal"/>
    <w:rsid w:val="002E6FCA"/>
    <w:pPr>
      <w:numPr>
        <w:numId w:val="12"/>
      </w:numPr>
      <w:spacing w:before="120" w:after="240"/>
      <w:ind w:left="1985" w:hanging="1985"/>
    </w:pPr>
    <w:rPr>
      <w:b/>
      <w:sz w:val="24"/>
      <w:szCs w:val="28"/>
      <w:lang w:eastAsia="en-US"/>
    </w:rPr>
  </w:style>
  <w:style w:type="paragraph" w:styleId="BalloonText">
    <w:name w:val="Balloon Text"/>
    <w:basedOn w:val="Normal"/>
    <w:link w:val="BalloonTextChar"/>
    <w:unhideWhenUsed/>
    <w:rsid w:val="008A356F"/>
    <w:rPr>
      <w:rFonts w:ascii="Tahoma" w:hAnsi="Tahoma" w:cs="Tahoma"/>
      <w:sz w:val="16"/>
      <w:szCs w:val="16"/>
    </w:rPr>
  </w:style>
  <w:style w:type="character" w:customStyle="1" w:styleId="BalloonTextChar">
    <w:name w:val="Balloon Text Char"/>
    <w:basedOn w:val="DefaultParagraphFont"/>
    <w:link w:val="BalloonText"/>
    <w:rsid w:val="008A356F"/>
    <w:rPr>
      <w:rFonts w:ascii="Tahoma" w:hAnsi="Tahoma" w:cs="Tahoma"/>
      <w:sz w:val="16"/>
      <w:szCs w:val="16"/>
    </w:rPr>
  </w:style>
  <w:style w:type="paragraph" w:styleId="ListParagraph">
    <w:name w:val="List Paragraph"/>
    <w:aliases w:val="S-P puce2"/>
    <w:basedOn w:val="Normal"/>
    <w:link w:val="ListParagraphChar"/>
    <w:uiPriority w:val="34"/>
    <w:qFormat/>
    <w:rsid w:val="00420A38"/>
    <w:pPr>
      <w:ind w:left="720"/>
      <w:contextualSpacing/>
    </w:pPr>
  </w:style>
  <w:style w:type="character" w:styleId="CommentReference">
    <w:name w:val="annotation reference"/>
    <w:basedOn w:val="DefaultParagraphFont"/>
    <w:unhideWhenUsed/>
    <w:rsid w:val="00EA5A97"/>
    <w:rPr>
      <w:sz w:val="16"/>
      <w:szCs w:val="16"/>
    </w:rPr>
  </w:style>
  <w:style w:type="paragraph" w:styleId="CommentText">
    <w:name w:val="annotation text"/>
    <w:basedOn w:val="Normal"/>
    <w:link w:val="CommentTextChar"/>
    <w:unhideWhenUsed/>
    <w:rsid w:val="00EA5A97"/>
    <w:rPr>
      <w:sz w:val="20"/>
      <w:szCs w:val="20"/>
    </w:rPr>
  </w:style>
  <w:style w:type="character" w:customStyle="1" w:styleId="CommentTextChar">
    <w:name w:val="Comment Text Char"/>
    <w:basedOn w:val="DefaultParagraphFont"/>
    <w:link w:val="CommentText"/>
    <w:rsid w:val="00EA5A97"/>
    <w:rPr>
      <w:rFonts w:ascii="Arial" w:hAnsi="Arial" w:cs="Calibri"/>
    </w:rPr>
  </w:style>
  <w:style w:type="paragraph" w:styleId="CommentSubject">
    <w:name w:val="annotation subject"/>
    <w:basedOn w:val="CommentText"/>
    <w:next w:val="CommentText"/>
    <w:link w:val="CommentSubjectChar"/>
    <w:unhideWhenUsed/>
    <w:rsid w:val="00EA5A97"/>
    <w:rPr>
      <w:b/>
      <w:bCs/>
    </w:rPr>
  </w:style>
  <w:style w:type="character" w:customStyle="1" w:styleId="CommentSubjectChar">
    <w:name w:val="Comment Subject Char"/>
    <w:basedOn w:val="CommentTextChar"/>
    <w:link w:val="CommentSubject"/>
    <w:rsid w:val="00EA5A97"/>
    <w:rPr>
      <w:rFonts w:ascii="Arial" w:hAnsi="Arial" w:cs="Calibri"/>
      <w:b/>
      <w:bCs/>
    </w:rPr>
  </w:style>
  <w:style w:type="paragraph" w:customStyle="1" w:styleId="Titlefirstpage">
    <w:name w:val="Title first page"/>
    <w:basedOn w:val="Normal"/>
    <w:rsid w:val="001A586E"/>
    <w:pPr>
      <w:ind w:right="-55"/>
      <w:jc w:val="center"/>
    </w:pPr>
    <w:rPr>
      <w:rFonts w:ascii="Times New Roman" w:eastAsia="Times New Roman" w:hAnsi="Times New Roman" w:cs="Times New Roman"/>
      <w:b/>
      <w:sz w:val="48"/>
      <w:szCs w:val="24"/>
      <w:lang w:eastAsia="en-US"/>
    </w:rPr>
  </w:style>
  <w:style w:type="paragraph" w:customStyle="1" w:styleId="statusdoc">
    <w:name w:val="statusdoc"/>
    <w:basedOn w:val="Normal"/>
    <w:rsid w:val="001A586E"/>
    <w:pPr>
      <w:pBdr>
        <w:top w:val="single" w:sz="12" w:space="1" w:color="auto"/>
        <w:left w:val="single" w:sz="12" w:space="1" w:color="auto"/>
        <w:bottom w:val="single" w:sz="12" w:space="1" w:color="auto"/>
        <w:right w:val="single" w:sz="12" w:space="1" w:color="auto"/>
      </w:pBdr>
      <w:tabs>
        <w:tab w:val="left" w:pos="7088"/>
        <w:tab w:val="right" w:pos="9923"/>
      </w:tabs>
      <w:spacing w:after="40"/>
      <w:ind w:left="5387"/>
      <w:jc w:val="both"/>
    </w:pPr>
    <w:rPr>
      <w:rFonts w:ascii="Times New Roman" w:eastAsia="Times New Roman" w:hAnsi="Times New Roman" w:cs="Times New Roman"/>
      <w:b/>
      <w:sz w:val="24"/>
      <w:szCs w:val="24"/>
      <w:lang w:eastAsia="en-US"/>
    </w:rPr>
  </w:style>
  <w:style w:type="paragraph" w:customStyle="1" w:styleId="TitleWithinDoc">
    <w:name w:val="Title_Within_Doc"/>
    <w:basedOn w:val="TOC1"/>
    <w:rsid w:val="001A586E"/>
    <w:pPr>
      <w:tabs>
        <w:tab w:val="clear" w:pos="567"/>
        <w:tab w:val="clear" w:pos="9639"/>
        <w:tab w:val="right" w:leader="dot" w:pos="10195"/>
      </w:tabs>
      <w:spacing w:before="240"/>
      <w:ind w:right="0"/>
      <w:jc w:val="center"/>
    </w:pPr>
    <w:rPr>
      <w:rFonts w:ascii="Times New Roman" w:hAnsi="Times New Roman" w:cs="Times New Roman"/>
      <w:b/>
      <w:i/>
      <w:caps w:val="0"/>
      <w:smallCaps/>
      <w:sz w:val="44"/>
      <w:szCs w:val="28"/>
    </w:rPr>
  </w:style>
  <w:style w:type="paragraph" w:customStyle="1" w:styleId="TableHeader">
    <w:name w:val="Table Header"/>
    <w:basedOn w:val="Normal"/>
    <w:rsid w:val="001A586E"/>
    <w:pPr>
      <w:keepNext/>
      <w:keepLines/>
      <w:suppressAutoHyphens/>
      <w:spacing w:before="60" w:after="60"/>
      <w:jc w:val="center"/>
    </w:pPr>
    <w:rPr>
      <w:rFonts w:ascii="Trebuchet MS" w:eastAsia="Times New Roman" w:hAnsi="Trebuchet MS" w:cs="Times New Roman"/>
      <w:szCs w:val="24"/>
      <w:lang w:eastAsia="en-US"/>
    </w:rPr>
  </w:style>
  <w:style w:type="table" w:customStyle="1" w:styleId="TableESP-ESSP">
    <w:name w:val="Table ESP-ESSP"/>
    <w:basedOn w:val="TableGrid"/>
    <w:rsid w:val="001A586E"/>
    <w:pPr>
      <w:spacing w:before="60" w:after="60"/>
    </w:pPr>
    <w:rPr>
      <w:rFonts w:ascii="Times New Roman" w:eastAsia="Times New Roman" w:hAnsi="Times New Roman"/>
      <w:sz w:val="21"/>
      <w:lang w:val="fr-FR" w:eastAsia="fr-FR"/>
    </w:rPr>
    <w:tblPr>
      <w:jc w:val="center"/>
      <w:tblInd w:w="0" w:type="dxa"/>
      <w:tblBorders>
        <w:top w:val="double" w:sz="4" w:space="0" w:color="auto"/>
        <w:left w:val="double" w:sz="4" w:space="0" w:color="auto"/>
        <w:bottom w:val="double" w:sz="4" w:space="0" w:color="auto"/>
        <w:right w:val="double" w:sz="4" w:space="0" w:color="auto"/>
      </w:tblBorders>
      <w:tblCellMar>
        <w:top w:w="0" w:type="dxa"/>
        <w:left w:w="85" w:type="dxa"/>
        <w:bottom w:w="0" w:type="dxa"/>
        <w:right w:w="85" w:type="dxa"/>
      </w:tblCellMar>
    </w:tblPr>
    <w:trPr>
      <w:jc w:val="center"/>
    </w:trPr>
    <w:tcPr>
      <w:vAlign w:val="center"/>
    </w:tcPr>
    <w:tblStylePr w:type="firstRow">
      <w:pPr>
        <w:wordWrap/>
        <w:jc w:val="center"/>
      </w:pPr>
      <w:rPr>
        <w:rFonts w:ascii="Times New Roman" w:hAnsi="Times New Roman" w:cs="Times New Roman"/>
        <w:b/>
        <w:bCs/>
        <w:i w:val="0"/>
        <w:iCs w:val="0"/>
        <w:sz w:val="21"/>
        <w:szCs w:val="21"/>
      </w:rPr>
      <w:tblPr/>
      <w:tcPr>
        <w:tcBorders>
          <w:top w:val="double" w:sz="4" w:space="0" w:color="auto"/>
          <w:left w:val="double" w:sz="4" w:space="0" w:color="auto"/>
          <w:bottom w:val="single" w:sz="12" w:space="0" w:color="auto"/>
          <w:right w:val="double" w:sz="4" w:space="0" w:color="auto"/>
          <w:insideH w:val="nil"/>
          <w:insideV w:val="single" w:sz="2" w:space="0" w:color="auto"/>
          <w:tl2br w:val="nil"/>
          <w:tr2bl w:val="nil"/>
        </w:tcBorders>
        <w:shd w:val="clear" w:color="auto" w:fill="E6E6E6"/>
      </w:tcPr>
    </w:tblStylePr>
  </w:style>
  <w:style w:type="paragraph" w:customStyle="1" w:styleId="TableHeader0">
    <w:name w:val="TableHeader"/>
    <w:rsid w:val="001A586E"/>
    <w:pPr>
      <w:jc w:val="center"/>
    </w:pPr>
    <w:rPr>
      <w:rFonts w:ascii="Times New Roman" w:eastAsia="Times New Roman" w:hAnsi="Times New Roman"/>
      <w:b/>
      <w:bCs/>
      <w:sz w:val="24"/>
      <w:lang w:eastAsia="en-US"/>
    </w:rPr>
  </w:style>
  <w:style w:type="paragraph" w:customStyle="1" w:styleId="Style1">
    <w:name w:val="Style1"/>
    <w:basedOn w:val="Normal"/>
    <w:rsid w:val="001A586E"/>
    <w:pPr>
      <w:framePr w:hSpace="141" w:wrap="around" w:vAnchor="text" w:hAnchor="margin" w:y="104"/>
      <w:jc w:val="center"/>
    </w:pPr>
    <w:rPr>
      <w:rFonts w:ascii="Times New Roman" w:eastAsia="Times New Roman" w:hAnsi="Times New Roman" w:cs="Times New Roman"/>
      <w:b/>
      <w:i/>
      <w:sz w:val="24"/>
      <w:szCs w:val="24"/>
      <w:lang w:val="en-US" w:eastAsia="en-US"/>
    </w:rPr>
  </w:style>
  <w:style w:type="paragraph" w:customStyle="1" w:styleId="MainText">
    <w:name w:val="Main Text"/>
    <w:basedOn w:val="Normal"/>
    <w:qFormat/>
    <w:rsid w:val="001A586E"/>
    <w:pPr>
      <w:spacing w:before="60" w:after="120"/>
      <w:ind w:left="567"/>
      <w:jc w:val="both"/>
    </w:pPr>
    <w:rPr>
      <w:rFonts w:ascii="Times New Roman" w:eastAsia="Times New Roman" w:hAnsi="Times New Roman" w:cs="Times New Roman"/>
      <w:lang w:eastAsia="en-US"/>
    </w:rPr>
  </w:style>
  <w:style w:type="paragraph" w:styleId="DocumentMap">
    <w:name w:val="Document Map"/>
    <w:basedOn w:val="Normal"/>
    <w:link w:val="DocumentMapChar"/>
    <w:rsid w:val="001A586E"/>
    <w:rPr>
      <w:rFonts w:ascii="Tahoma" w:eastAsia="Times New Roman" w:hAnsi="Tahoma" w:cs="Tahoma"/>
      <w:sz w:val="16"/>
      <w:szCs w:val="16"/>
      <w:lang w:eastAsia="en-US"/>
    </w:rPr>
  </w:style>
  <w:style w:type="character" w:customStyle="1" w:styleId="DocumentMapChar">
    <w:name w:val="Document Map Char"/>
    <w:basedOn w:val="DefaultParagraphFont"/>
    <w:link w:val="DocumentMap"/>
    <w:rsid w:val="001A586E"/>
    <w:rPr>
      <w:rFonts w:ascii="Tahoma" w:eastAsia="Times New Roman" w:hAnsi="Tahoma" w:cs="Tahoma"/>
      <w:sz w:val="16"/>
      <w:szCs w:val="16"/>
      <w:lang w:eastAsia="en-US"/>
    </w:rPr>
  </w:style>
  <w:style w:type="paragraph" w:styleId="Caption">
    <w:name w:val="caption"/>
    <w:aliases w:val="Table,Legend,topic,Légende italique,kuvateksti,Figure No,c,C,topic Carattere,topic1,topic2,topic3,Ca,3559Caption,topic4,c1,C1,Legend1,topic11,topic21,topic31,3559Caption1,no,topic + 10 pt,Figure N...,Figure-caption,CAPTION,Figure Caption"/>
    <w:basedOn w:val="Normal"/>
    <w:next w:val="Normal"/>
    <w:link w:val="CaptionChar"/>
    <w:uiPriority w:val="99"/>
    <w:unhideWhenUsed/>
    <w:qFormat/>
    <w:rsid w:val="001A586E"/>
    <w:pPr>
      <w:spacing w:after="200"/>
    </w:pPr>
    <w:rPr>
      <w:rFonts w:ascii="Times New Roman" w:eastAsia="Times New Roman" w:hAnsi="Times New Roman" w:cs="Times New Roman"/>
      <w:b/>
      <w:bCs/>
      <w:color w:val="4F81BD" w:themeColor="accent1"/>
      <w:sz w:val="18"/>
      <w:szCs w:val="18"/>
      <w:lang w:eastAsia="en-US"/>
    </w:rPr>
  </w:style>
  <w:style w:type="character" w:customStyle="1" w:styleId="apple-converted-space">
    <w:name w:val="apple-converted-space"/>
    <w:basedOn w:val="DefaultParagraphFont"/>
    <w:rsid w:val="001A586E"/>
  </w:style>
  <w:style w:type="table" w:styleId="TableProfessional">
    <w:name w:val="Table Professional"/>
    <w:basedOn w:val="TableNormal"/>
    <w:rsid w:val="001A586E"/>
    <w:rPr>
      <w:rFonts w:ascii="Times New Roman" w:eastAsia="Times New Roman" w:hAnsi="Times New Roman"/>
      <w:lang w:val="fr-FR" w:eastAsia="fr-F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CaptionChar">
    <w:name w:val="Caption Char"/>
    <w:aliases w:val="Table Char,Legend Char,topic Char,Légende italique Char,kuvateksti Char,Figure No Char,c Char,C Char,topic Carattere Char,topic1 Char,topic2 Char,topic3 Char,Ca Char,3559Caption Char,topic4 Char,c1 Char,C1 Char,Legend1 Char,topic11 Char"/>
    <w:basedOn w:val="DefaultParagraphFont"/>
    <w:link w:val="Caption"/>
    <w:uiPriority w:val="99"/>
    <w:locked/>
    <w:rsid w:val="001A586E"/>
    <w:rPr>
      <w:rFonts w:ascii="Times New Roman" w:eastAsia="Times New Roman" w:hAnsi="Times New Roman"/>
      <w:b/>
      <w:bCs/>
      <w:color w:val="4F81BD" w:themeColor="accent1"/>
      <w:sz w:val="18"/>
      <w:szCs w:val="18"/>
      <w:lang w:eastAsia="en-US"/>
    </w:rPr>
  </w:style>
  <w:style w:type="paragraph" w:styleId="Revision">
    <w:name w:val="Revision"/>
    <w:hidden/>
    <w:uiPriority w:val="99"/>
    <w:semiHidden/>
    <w:rsid w:val="001A586E"/>
    <w:rPr>
      <w:rFonts w:ascii="Times New Roman" w:eastAsia="Times New Roman" w:hAnsi="Times New Roman"/>
      <w:sz w:val="24"/>
      <w:szCs w:val="24"/>
      <w:lang w:eastAsia="en-US"/>
    </w:rPr>
  </w:style>
  <w:style w:type="character" w:customStyle="1" w:styleId="CharChar">
    <w:name w:val="Char Char"/>
    <w:rsid w:val="001A586E"/>
    <w:rPr>
      <w:sz w:val="24"/>
      <w:lang w:val="en-US" w:eastAsia="en-US" w:bidi="ar-SA"/>
    </w:rPr>
  </w:style>
  <w:style w:type="paragraph" w:styleId="NormalWeb">
    <w:name w:val="Normal (Web)"/>
    <w:basedOn w:val="Normal"/>
    <w:uiPriority w:val="99"/>
    <w:unhideWhenUsed/>
    <w:rsid w:val="001A586E"/>
    <w:pPr>
      <w:spacing w:before="100" w:beforeAutospacing="1" w:after="100" w:afterAutospacing="1"/>
    </w:pPr>
    <w:rPr>
      <w:rFonts w:ascii="Times New Roman" w:eastAsia="Times New Roman" w:hAnsi="Times New Roman" w:cs="Times New Roman"/>
      <w:sz w:val="24"/>
      <w:szCs w:val="24"/>
      <w:lang w:val="fr-FR" w:eastAsia="fr-FR"/>
    </w:rPr>
  </w:style>
  <w:style w:type="character" w:styleId="FollowedHyperlink">
    <w:name w:val="FollowedHyperlink"/>
    <w:basedOn w:val="DefaultParagraphFont"/>
    <w:rsid w:val="001A586E"/>
    <w:rPr>
      <w:color w:val="800080" w:themeColor="followedHyperlink"/>
      <w:u w:val="single"/>
    </w:rPr>
  </w:style>
  <w:style w:type="paragraph" w:customStyle="1" w:styleId="FigureCaption">
    <w:name w:val="Figure_Caption"/>
    <w:basedOn w:val="Normal"/>
    <w:rsid w:val="001A586E"/>
    <w:pPr>
      <w:spacing w:before="120" w:after="120"/>
      <w:jc w:val="center"/>
    </w:pPr>
    <w:rPr>
      <w:rFonts w:ascii="Times New Roman" w:eastAsia="Times New Roman" w:hAnsi="Times New Roman" w:cs="Times New Roman"/>
      <w:iCs/>
      <w:sz w:val="20"/>
      <w:szCs w:val="24"/>
      <w:lang w:eastAsia="en-US"/>
    </w:rPr>
  </w:style>
  <w:style w:type="paragraph" w:customStyle="1" w:styleId="BulletInput">
    <w:name w:val="Bullet Input"/>
    <w:basedOn w:val="Normal"/>
    <w:uiPriority w:val="99"/>
    <w:rsid w:val="001A586E"/>
    <w:pPr>
      <w:numPr>
        <w:numId w:val="14"/>
      </w:numPr>
      <w:tabs>
        <w:tab w:val="clear" w:pos="1985"/>
        <w:tab w:val="num" w:pos="567"/>
      </w:tabs>
      <w:spacing w:after="120"/>
      <w:ind w:left="567" w:hanging="567"/>
      <w:jc w:val="both"/>
    </w:pPr>
    <w:rPr>
      <w:rFonts w:ascii="Times New Roman" w:eastAsia="Times New Roman" w:hAnsi="Times New Roman" w:cs="Times New Roman"/>
      <w:sz w:val="24"/>
      <w:szCs w:val="24"/>
      <w:lang w:eastAsia="en-US"/>
    </w:rPr>
  </w:style>
  <w:style w:type="paragraph" w:customStyle="1" w:styleId="Appendix-1">
    <w:name w:val="Appendix-1"/>
    <w:basedOn w:val="Heading1"/>
    <w:next w:val="Normal"/>
    <w:uiPriority w:val="99"/>
    <w:rsid w:val="001A586E"/>
    <w:pPr>
      <w:pageBreakBefore/>
      <w:numPr>
        <w:numId w:val="15"/>
      </w:numPr>
      <w:tabs>
        <w:tab w:val="left" w:pos="2268"/>
      </w:tabs>
      <w:spacing w:after="120"/>
    </w:pPr>
    <w:rPr>
      <w:rFonts w:ascii="Trebuchet MS" w:eastAsia="Times New Roman" w:hAnsi="Trebuchet MS" w:cs="Times New Roman"/>
      <w:color w:val="auto"/>
      <w:kern w:val="0"/>
      <w:sz w:val="28"/>
      <w:szCs w:val="28"/>
      <w:lang w:val="fr-FR" w:eastAsia="en-US"/>
    </w:rPr>
  </w:style>
  <w:style w:type="paragraph" w:customStyle="1" w:styleId="Appendix-2">
    <w:name w:val="Appendix-2"/>
    <w:basedOn w:val="Heading2"/>
    <w:next w:val="Normal"/>
    <w:uiPriority w:val="99"/>
    <w:rsid w:val="001A586E"/>
    <w:pPr>
      <w:tabs>
        <w:tab w:val="num" w:pos="2160"/>
      </w:tabs>
      <w:spacing w:before="240"/>
      <w:ind w:left="360" w:hanging="360"/>
    </w:pPr>
    <w:rPr>
      <w:rFonts w:ascii="Tahoma" w:eastAsia="Times New Roman" w:hAnsi="Tahoma" w:cs="Arial"/>
      <w:b w:val="0"/>
      <w:bCs/>
      <w:iCs/>
      <w:color w:val="auto"/>
      <w:sz w:val="26"/>
      <w:lang w:val="fr-FR" w:eastAsia="en-US"/>
    </w:rPr>
  </w:style>
  <w:style w:type="character" w:customStyle="1" w:styleId="ListParagraphChar">
    <w:name w:val="List Paragraph Char"/>
    <w:aliases w:val="S-P puce2 Char"/>
    <w:link w:val="ListParagraph"/>
    <w:uiPriority w:val="34"/>
    <w:rsid w:val="001A586E"/>
    <w:rPr>
      <w:rFonts w:ascii="Arial" w:hAnsi="Arial" w:cs="Calibri"/>
      <w:sz w:val="22"/>
      <w:szCs w:val="22"/>
    </w:rPr>
  </w:style>
  <w:style w:type="paragraph" w:customStyle="1" w:styleId="Pa0">
    <w:name w:val="Pa0"/>
    <w:basedOn w:val="Normal"/>
    <w:next w:val="Normal"/>
    <w:uiPriority w:val="99"/>
    <w:rsid w:val="001A586E"/>
    <w:pPr>
      <w:autoSpaceDE w:val="0"/>
      <w:autoSpaceDN w:val="0"/>
      <w:adjustRightInd w:val="0"/>
      <w:spacing w:line="241" w:lineRule="atLeast"/>
    </w:pPr>
    <w:rPr>
      <w:rFonts w:ascii="BTLRCM+HelveticaNeue-Roman" w:eastAsia="Times New Roman" w:hAnsi="BTLRCM+HelveticaNeue-Roman" w:cs="Times New Roman"/>
      <w:sz w:val="24"/>
      <w:szCs w:val="24"/>
      <w:lang w:val="es-ES_tradnl"/>
    </w:rPr>
  </w:style>
  <w:style w:type="character" w:customStyle="1" w:styleId="A1">
    <w:name w:val="A1"/>
    <w:uiPriority w:val="99"/>
    <w:rsid w:val="001A586E"/>
    <w:rPr>
      <w:rFonts w:cs="BTLRCM+HelveticaNeue-Roman"/>
      <w:color w:val="000000"/>
      <w:sz w:val="18"/>
      <w:szCs w:val="18"/>
    </w:rPr>
  </w:style>
  <w:style w:type="paragraph" w:customStyle="1" w:styleId="Pa7">
    <w:name w:val="Pa7"/>
    <w:basedOn w:val="Normal"/>
    <w:next w:val="Normal"/>
    <w:uiPriority w:val="99"/>
    <w:rsid w:val="001A586E"/>
    <w:pPr>
      <w:autoSpaceDE w:val="0"/>
      <w:autoSpaceDN w:val="0"/>
      <w:adjustRightInd w:val="0"/>
      <w:spacing w:line="241" w:lineRule="atLeast"/>
    </w:pPr>
    <w:rPr>
      <w:rFonts w:ascii="BTLRCM+HelveticaNeue-Roman" w:eastAsia="Times New Roman" w:hAnsi="BTLRCM+HelveticaNeue-Roman" w:cs="Times New Roman"/>
      <w:sz w:val="24"/>
      <w:szCs w:val="24"/>
      <w:lang w:val="es-ES_tradnl"/>
    </w:rPr>
  </w:style>
  <w:style w:type="paragraph" w:styleId="Quote">
    <w:name w:val="Quote"/>
    <w:basedOn w:val="Normal"/>
    <w:next w:val="Normal"/>
    <w:link w:val="QuoteChar"/>
    <w:qFormat/>
    <w:rsid w:val="00E01A73"/>
    <w:rPr>
      <w:i/>
      <w:iCs/>
      <w:color w:val="000000" w:themeColor="text1"/>
    </w:rPr>
  </w:style>
  <w:style w:type="character" w:customStyle="1" w:styleId="QuoteChar">
    <w:name w:val="Quote Char"/>
    <w:basedOn w:val="DefaultParagraphFont"/>
    <w:link w:val="Quote"/>
    <w:rsid w:val="00E01A73"/>
    <w:rPr>
      <w:rFonts w:ascii="Arial" w:hAnsi="Arial" w:cs="Calibri"/>
      <w:i/>
      <w:iCs/>
      <w:color w:val="000000" w:themeColor="text1"/>
      <w:sz w:val="22"/>
      <w:szCs w:val="22"/>
    </w:rPr>
  </w:style>
  <w:style w:type="paragraph" w:customStyle="1" w:styleId="Annex2">
    <w:name w:val="Annex 2"/>
    <w:basedOn w:val="Annex"/>
    <w:link w:val="Annex2Char"/>
    <w:rsid w:val="008A6A26"/>
    <w:pPr>
      <w:pageBreakBefore/>
      <w:numPr>
        <w:numId w:val="18"/>
      </w:numPr>
      <w:pBdr>
        <w:bottom w:val="single" w:sz="18" w:space="4" w:color="auto"/>
      </w:pBdr>
      <w:tabs>
        <w:tab w:val="clear" w:pos="1701"/>
      </w:tabs>
      <w:jc w:val="left"/>
    </w:pPr>
    <w:rPr>
      <w:rFonts w:eastAsia="Times New Roman"/>
      <w:kern w:val="28"/>
      <w:lang w:eastAsia="de-DE"/>
    </w:rPr>
  </w:style>
  <w:style w:type="character" w:customStyle="1" w:styleId="AnnexChar">
    <w:name w:val="Annex Char"/>
    <w:basedOn w:val="Heading1Char"/>
    <w:link w:val="Annex"/>
    <w:rsid w:val="008A6A26"/>
    <w:rPr>
      <w:rFonts w:cs="Calibri"/>
      <w:b/>
      <w:caps/>
      <w:snapToGrid w:val="0"/>
      <w:color w:val="0070C0"/>
      <w:kern w:val="28"/>
      <w:sz w:val="24"/>
      <w:szCs w:val="22"/>
      <w:lang w:eastAsia="de-DE"/>
    </w:rPr>
  </w:style>
  <w:style w:type="paragraph" w:customStyle="1" w:styleId="Style2">
    <w:name w:val="Style2"/>
    <w:basedOn w:val="Heading2"/>
    <w:link w:val="Style2Char"/>
    <w:qFormat/>
    <w:rsid w:val="008A6A26"/>
    <w:pPr>
      <w:spacing w:before="240"/>
    </w:pPr>
    <w:rPr>
      <w:rFonts w:ascii="Trebuchet MS" w:eastAsia="Times New Roman" w:hAnsi="Trebuchet MS" w:cs="Arial"/>
      <w:b w:val="0"/>
      <w:sz w:val="26"/>
      <w:lang w:eastAsia="en-US"/>
    </w:rPr>
  </w:style>
  <w:style w:type="character" w:customStyle="1" w:styleId="Annex2Char">
    <w:name w:val="Annex 2 Char"/>
    <w:basedOn w:val="AnnexChar"/>
    <w:link w:val="Annex2"/>
    <w:rsid w:val="008A6A26"/>
    <w:rPr>
      <w:rFonts w:eastAsia="Times New Roman" w:cs="Calibri"/>
      <w:b/>
      <w:caps/>
      <w:snapToGrid w:val="0"/>
      <w:color w:val="0070C0"/>
      <w:kern w:val="28"/>
      <w:sz w:val="24"/>
      <w:szCs w:val="22"/>
      <w:lang w:eastAsia="de-DE"/>
    </w:rPr>
  </w:style>
  <w:style w:type="character" w:customStyle="1" w:styleId="Style2Char">
    <w:name w:val="Style2 Char"/>
    <w:basedOn w:val="Heading2Char"/>
    <w:link w:val="Style2"/>
    <w:rsid w:val="008A6A26"/>
    <w:rPr>
      <w:rFonts w:ascii="Trebuchet MS" w:eastAsia="Times New Roman" w:hAnsi="Trebuchet MS" w:cs="Arial"/>
      <w:b w:val="0"/>
      <w:color w:val="0070C0"/>
      <w:sz w:val="26"/>
      <w:szCs w:val="24"/>
      <w:lang w:eastAsia="en-US"/>
    </w:rPr>
  </w:style>
  <w:style w:type="paragraph" w:customStyle="1" w:styleId="Annex1">
    <w:name w:val="Annex_1"/>
    <w:basedOn w:val="Heading1"/>
    <w:link w:val="Annex1Char"/>
    <w:rsid w:val="008A6A26"/>
    <w:pPr>
      <w:pageBreakBefore/>
      <w:numPr>
        <w:numId w:val="19"/>
      </w:numPr>
      <w:pBdr>
        <w:bottom w:val="single" w:sz="18" w:space="4" w:color="auto"/>
      </w:pBdr>
    </w:pPr>
    <w:rPr>
      <w:rFonts w:ascii="Trebuchet MS" w:eastAsia="Times New Roman" w:hAnsi="Trebuchet MS"/>
      <w:bCs/>
      <w:sz w:val="28"/>
      <w:szCs w:val="28"/>
      <w:lang w:eastAsia="en-US"/>
    </w:rPr>
  </w:style>
  <w:style w:type="paragraph" w:customStyle="1" w:styleId="Annex20">
    <w:name w:val="Annex_2"/>
    <w:basedOn w:val="Annex1"/>
    <w:link w:val="Annex2Char0"/>
    <w:rsid w:val="008A6A26"/>
    <w:pPr>
      <w:pageBreakBefore w:val="0"/>
      <w:numPr>
        <w:numId w:val="0"/>
      </w:numPr>
      <w:pBdr>
        <w:bottom w:val="none" w:sz="0" w:space="0" w:color="auto"/>
      </w:pBdr>
    </w:pPr>
    <w:rPr>
      <w:b w:val="0"/>
      <w:kern w:val="0"/>
      <w:sz w:val="26"/>
    </w:rPr>
  </w:style>
  <w:style w:type="character" w:customStyle="1" w:styleId="Annex1Char">
    <w:name w:val="Annex_1 Char"/>
    <w:basedOn w:val="Heading1Char"/>
    <w:link w:val="Annex1"/>
    <w:rsid w:val="008A6A26"/>
    <w:rPr>
      <w:rFonts w:ascii="Trebuchet MS" w:eastAsia="Times New Roman" w:hAnsi="Trebuchet MS" w:cs="Calibri"/>
      <w:b/>
      <w:bCs/>
      <w:caps/>
      <w:color w:val="0070C0"/>
      <w:kern w:val="28"/>
      <w:sz w:val="28"/>
      <w:szCs w:val="28"/>
      <w:lang w:eastAsia="en-US"/>
    </w:rPr>
  </w:style>
  <w:style w:type="character" w:customStyle="1" w:styleId="Annex2Char0">
    <w:name w:val="Annex_2 Char"/>
    <w:basedOn w:val="Heading2Char"/>
    <w:link w:val="Annex20"/>
    <w:rsid w:val="008A6A26"/>
    <w:rPr>
      <w:rFonts w:ascii="Trebuchet MS" w:eastAsia="Times New Roman" w:hAnsi="Trebuchet MS" w:cs="Calibri"/>
      <w:b w:val="0"/>
      <w:bCs/>
      <w:caps/>
      <w:color w:val="0070C0"/>
      <w:sz w:val="26"/>
      <w:szCs w:val="28"/>
      <w:lang w:eastAsia="en-US"/>
    </w:rPr>
  </w:style>
  <w:style w:type="table" w:styleId="LightGrid">
    <w:name w:val="Light Grid"/>
    <w:basedOn w:val="TableNormal"/>
    <w:uiPriority w:val="62"/>
    <w:rsid w:val="008A6A26"/>
    <w:rPr>
      <w:rFonts w:asciiTheme="minorHAnsi" w:eastAsiaTheme="minorEastAsia" w:hAnsiTheme="minorHAnsi" w:cstheme="minorBidi"/>
      <w:sz w:val="22"/>
      <w:szCs w:val="22"/>
      <w:lang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TableList4">
    <w:name w:val="Table List 4"/>
    <w:basedOn w:val="TableNormal"/>
    <w:rsid w:val="008A6A26"/>
    <w:rPr>
      <w:rFonts w:ascii="Times New Roman" w:eastAsia="Times New Roman" w:hAnsi="Times New Roman"/>
      <w:lang w:val="fr-FR" w:eastAsia="fr-FR"/>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stlevelbullet">
    <w:name w:val="1st level bullet"/>
    <w:basedOn w:val="BodyText"/>
    <w:rsid w:val="00ED711C"/>
    <w:pPr>
      <w:numPr>
        <w:numId w:val="21"/>
      </w:numPr>
      <w:spacing w:before="60" w:after="60"/>
      <w:jc w:val="left"/>
    </w:pPr>
    <w:rPr>
      <w:rFonts w:ascii="Times New Roman" w:eastAsia="Times New Roman" w:hAnsi="Times New Roman" w:cs="Times New Roman"/>
      <w:bCs/>
      <w:sz w:val="21"/>
      <w:szCs w:val="24"/>
      <w:lang w:eastAsia="en-US"/>
    </w:rPr>
  </w:style>
  <w:style w:type="paragraph" w:customStyle="1" w:styleId="4thlevelbullet">
    <w:name w:val="4th level bullet"/>
    <w:basedOn w:val="BodyText"/>
    <w:rsid w:val="00ED711C"/>
    <w:pPr>
      <w:numPr>
        <w:numId w:val="22"/>
      </w:numPr>
      <w:tabs>
        <w:tab w:val="left" w:pos="834"/>
      </w:tabs>
      <w:spacing w:before="60" w:after="60"/>
      <w:jc w:val="left"/>
    </w:pPr>
    <w:rPr>
      <w:rFonts w:ascii="Times New Roman" w:eastAsia="Times New Roman" w:hAnsi="Times New Roman" w:cs="Times New Roman"/>
      <w:bCs/>
      <w:sz w:val="2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323453">
      <w:bodyDiv w:val="1"/>
      <w:marLeft w:val="0"/>
      <w:marRight w:val="0"/>
      <w:marTop w:val="0"/>
      <w:marBottom w:val="0"/>
      <w:divBdr>
        <w:top w:val="none" w:sz="0" w:space="0" w:color="auto"/>
        <w:left w:val="none" w:sz="0" w:space="0" w:color="auto"/>
        <w:bottom w:val="none" w:sz="0" w:space="0" w:color="auto"/>
        <w:right w:val="none" w:sz="0" w:space="0" w:color="auto"/>
      </w:divBdr>
    </w:div>
    <w:div w:id="1333877488">
      <w:bodyDiv w:val="1"/>
      <w:marLeft w:val="0"/>
      <w:marRight w:val="0"/>
      <w:marTop w:val="0"/>
      <w:marBottom w:val="0"/>
      <w:divBdr>
        <w:top w:val="none" w:sz="0" w:space="0" w:color="auto"/>
        <w:left w:val="none" w:sz="0" w:space="0" w:color="auto"/>
        <w:bottom w:val="none" w:sz="0" w:space="0" w:color="auto"/>
        <w:right w:val="none" w:sz="0" w:space="0" w:color="auto"/>
      </w:divBdr>
    </w:div>
    <w:div w:id="195659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image" Target="media/image8.jpg"/><Relationship Id="rId3" Type="http://schemas.openxmlformats.org/officeDocument/2006/relationships/styles" Target="styles.xml"/><Relationship Id="rId21" Type="http://schemas.openxmlformats.org/officeDocument/2006/relationships/image" Target="media/image11.jp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jp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10.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image" Target="media/image9.jp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png"/><Relationship Id="rId22"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6.tiff"/></Relationships>
</file>

<file path=word/_rels/header5.xml.rels><?xml version="1.0" encoding="UTF-8" standalone="yes"?>
<Relationships xmlns="http://schemas.openxmlformats.org/package/2006/relationships"><Relationship Id="rId2" Type="http://schemas.openxmlformats.org/officeDocument/2006/relationships/image" Target="media/image6.tiff"/><Relationship Id="rId1"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0D56E-6965-4166-B41C-3101C63DD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6192</Words>
  <Characters>35295</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41405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Seamus Doyle</cp:lastModifiedBy>
  <cp:revision>3</cp:revision>
  <dcterms:created xsi:type="dcterms:W3CDTF">2016-08-19T11:14:00Z</dcterms:created>
  <dcterms:modified xsi:type="dcterms:W3CDTF">2016-08-19T11:16:00Z</dcterms:modified>
</cp:coreProperties>
</file>